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4A5DB86A"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8D3E09">
        <w:rPr>
          <w:rFonts w:cs="B Mitra" w:hint="cs"/>
          <w:b/>
          <w:bCs/>
          <w:sz w:val="32"/>
          <w:szCs w:val="32"/>
          <w:rtl/>
          <w:lang w:bidi="fa-IR"/>
        </w:rPr>
        <w:t>8</w:t>
      </w:r>
      <w:r w:rsidR="002E5BE5">
        <w:rPr>
          <w:rFonts w:cs="B Mitra" w:hint="cs"/>
          <w:b/>
          <w:bCs/>
          <w:sz w:val="32"/>
          <w:szCs w:val="32"/>
          <w:rtl/>
          <w:lang w:bidi="fa-IR"/>
        </w:rPr>
        <w:t>3</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2902AE28" w14:textId="5E050D21" w:rsidR="004D2ED1" w:rsidRDefault="004D2ED1" w:rsidP="004D2ED1">
      <w:pPr>
        <w:widowControl w:val="0"/>
        <w:bidi/>
        <w:spacing w:after="0" w:line="26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ادله وجوب نفسی ختان را جلسه گذشته مطرح کرديم.</w:t>
      </w:r>
    </w:p>
    <w:p w14:paraId="386E5D1C" w14:textId="7F95985A" w:rsidR="004D2ED1" w:rsidRPr="0070482F" w:rsidRDefault="004D2ED1" w:rsidP="004D2ED1">
      <w:pPr>
        <w:widowControl w:val="0"/>
        <w:bidi/>
        <w:spacing w:after="0" w:line="262" w:lineRule="auto"/>
        <w:ind w:firstLine="284"/>
        <w:jc w:val="both"/>
        <w:rPr>
          <w:rFonts w:ascii="Traditional Arabic" w:hAnsi="Traditional Arabic" w:cs="Abz-2 (Badr)"/>
          <w:color w:val="0070C0"/>
          <w:sz w:val="28"/>
          <w:szCs w:val="28"/>
          <w:rtl/>
          <w:lang w:bidi="ar"/>
        </w:rPr>
      </w:pPr>
      <w:r>
        <w:rPr>
          <w:rFonts w:ascii="Traditional Arabic" w:hAnsi="Traditional Arabic" w:cs="Abz-2 (Badr)" w:hint="cs"/>
          <w:color w:val="000000" w:themeColor="text1"/>
          <w:sz w:val="28"/>
          <w:szCs w:val="28"/>
          <w:rtl/>
          <w:lang w:bidi="fa-IR"/>
        </w:rPr>
        <w:t xml:space="preserve">اما در خصوص اين که آيا بر ولی لازم است که قبل از بلوغ صبی را ختنه کند يا اين که تکليف خود مکلف است که بعد از بلوغ خود را ختنه نمايد، شهيد ثانی فرموده است: </w:t>
      </w:r>
      <w:r w:rsidRPr="0070482F">
        <w:rPr>
          <w:rFonts w:ascii="Traditional Arabic" w:hAnsi="Traditional Arabic" w:cs="Abz-2 (Badr)" w:hint="cs"/>
          <w:color w:val="0070C0"/>
          <w:sz w:val="28"/>
          <w:szCs w:val="28"/>
          <w:rtl/>
          <w:lang w:bidi="fa-IR"/>
        </w:rPr>
        <w:t>«</w:t>
      </w:r>
      <w:r w:rsidRPr="0048652E">
        <w:rPr>
          <w:rFonts w:ascii="Traditional Arabic" w:hAnsi="Traditional Arabic" w:cs="Abz-2 (Badr)"/>
          <w:color w:val="0070C0"/>
          <w:sz w:val="28"/>
          <w:szCs w:val="28"/>
          <w:rtl/>
          <w:lang w:bidi="ar"/>
        </w:rPr>
        <w:t>إن</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ما الكلام في أو</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ل وقت وجوبه هل هو قبل التكليف بحيث إذا بلغ الصبي‌ يكون قد اختتن قبله ولو بقليل، أم لا يجب إلا بعد البلوغ كغيره من التكاليف المتعلّقة بالمكلّف؟</w:t>
      </w:r>
    </w:p>
    <w:p w14:paraId="7CF6BC95" w14:textId="77777777" w:rsidR="004D2ED1" w:rsidRPr="0048652E" w:rsidRDefault="004D2ED1" w:rsidP="004D2ED1">
      <w:pPr>
        <w:widowControl w:val="0"/>
        <w:bidi/>
        <w:spacing w:after="0" w:line="262" w:lineRule="auto"/>
        <w:ind w:firstLine="284"/>
        <w:jc w:val="both"/>
        <w:rPr>
          <w:rFonts w:ascii="Traditional Arabic" w:hAnsi="Traditional Arabic" w:cs="Abz-2 (Badr)"/>
          <w:color w:val="0070C0"/>
          <w:sz w:val="28"/>
          <w:szCs w:val="28"/>
          <w:lang w:bidi="fa-IR"/>
        </w:rPr>
      </w:pPr>
      <w:r w:rsidRPr="0048652E">
        <w:rPr>
          <w:rFonts w:ascii="Traditional Arabic" w:hAnsi="Traditional Arabic" w:cs="Abz-2 (Badr)"/>
          <w:color w:val="0070C0"/>
          <w:sz w:val="28"/>
          <w:szCs w:val="28"/>
          <w:rtl/>
          <w:lang w:bidi="ar"/>
        </w:rPr>
        <w:t>يظهر من عبارة المصن</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ف الأو</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ل، لإطلاق حكمه عليه بالوجوب، ولا ينافيه حكمه باستحبابه يوم السابع، لأن</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 xml:space="preserve"> الوجوب على هذا القول موس</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ع من</w:t>
      </w:r>
      <w:r w:rsidRPr="0070482F">
        <w:rPr>
          <w:rFonts w:ascii="Traditional Arabic" w:hAnsi="Traditional Arabic" w:cs="Abz-2 (Badr)" w:hint="cs"/>
          <w:color w:val="0070C0"/>
          <w:sz w:val="28"/>
          <w:szCs w:val="28"/>
          <w:rtl/>
          <w:lang w:bidi="ar"/>
        </w:rPr>
        <w:t xml:space="preserve"> </w:t>
      </w:r>
      <w:r w:rsidRPr="0048652E">
        <w:rPr>
          <w:rFonts w:ascii="Traditional Arabic" w:hAnsi="Traditional Arabic" w:cs="Abz-2 (Badr)"/>
          <w:color w:val="0070C0"/>
          <w:sz w:val="28"/>
          <w:szCs w:val="28"/>
          <w:rtl/>
          <w:lang w:bidi="ar"/>
        </w:rPr>
        <w:t>حين الولادة إلى أن يقرب التكليف. وعلى هذا فيكون فعله يوم السابع أفضل أفراده الواجبة، ولأجل ذلك أطلق عليه الاستحباب كما يقال: يستحبّ‌ صلاة الفريضة في أو</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ل وقتها. وعلى هذا فيكون الوجوب متعلّقا</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 xml:space="preserve"> بالولي</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 فإن لم يفعل إلى أن بلغ الصبي أثم وتعلّق الوجوب حينئذ</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 xml:space="preserve"> بالولد. </w:t>
      </w:r>
    </w:p>
    <w:p w14:paraId="20AD8FED" w14:textId="77777777" w:rsidR="004D2ED1" w:rsidRPr="0048652E" w:rsidRDefault="004D2ED1" w:rsidP="004D2ED1">
      <w:pPr>
        <w:widowControl w:val="0"/>
        <w:bidi/>
        <w:spacing w:after="0"/>
        <w:ind w:firstLine="284"/>
        <w:jc w:val="both"/>
        <w:rPr>
          <w:rFonts w:ascii="Traditional Arabic" w:hAnsi="Traditional Arabic" w:cs="Abz-2 (Badr)"/>
          <w:color w:val="0070C0"/>
          <w:sz w:val="28"/>
          <w:szCs w:val="28"/>
          <w:rtl/>
          <w:lang w:bidi="ar"/>
        </w:rPr>
      </w:pPr>
      <w:r w:rsidRPr="0048652E">
        <w:rPr>
          <w:rFonts w:ascii="Traditional Arabic" w:hAnsi="Traditional Arabic" w:cs="Abz-2 (Badr)"/>
          <w:color w:val="0070C0"/>
          <w:sz w:val="28"/>
          <w:szCs w:val="28"/>
          <w:rtl/>
          <w:lang w:bidi="ar"/>
        </w:rPr>
        <w:t>وبهذا القول صرّح في التحرير فقال: «ولا يجوز تأخيره إلى البلوغ</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w:t>
      </w:r>
      <w:r w:rsidRPr="0048652E">
        <w:rPr>
          <w:rFonts w:ascii="Traditional Arabic" w:hAnsi="Traditional Arabic" w:cs="Abz-2 (Badr)"/>
          <w:color w:val="0070C0"/>
          <w:sz w:val="28"/>
          <w:szCs w:val="28"/>
          <w:vertAlign w:val="superscript"/>
          <w:rtl/>
          <w:lang w:bidi="ar"/>
        </w:rPr>
        <w:footnoteReference w:id="1"/>
      </w:r>
    </w:p>
    <w:p w14:paraId="3D772AE0" w14:textId="77777777" w:rsidR="004D2ED1" w:rsidRPr="0048652E" w:rsidRDefault="004D2ED1" w:rsidP="004D2ED1">
      <w:pPr>
        <w:widowControl w:val="0"/>
        <w:bidi/>
        <w:spacing w:after="0"/>
        <w:ind w:firstLine="284"/>
        <w:jc w:val="both"/>
        <w:rPr>
          <w:rFonts w:ascii="Traditional Arabic" w:hAnsi="Traditional Arabic" w:cs="Abz-2 (Badr)"/>
          <w:color w:val="0070C0"/>
          <w:sz w:val="28"/>
          <w:szCs w:val="28"/>
          <w:rtl/>
          <w:lang w:bidi="ar"/>
        </w:rPr>
      </w:pPr>
      <w:r w:rsidRPr="0048652E">
        <w:rPr>
          <w:rFonts w:ascii="Traditional Arabic" w:hAnsi="Traditional Arabic" w:cs="Abz-2 (Badr)"/>
          <w:color w:val="0070C0"/>
          <w:sz w:val="28"/>
          <w:szCs w:val="28"/>
          <w:rtl/>
          <w:lang w:bidi="ar"/>
        </w:rPr>
        <w:t>ووجه هذا القول: إطلاق الأمر به للولي الدالّ‌ على الوجوب</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 xml:space="preserve"> </w:t>
      </w:r>
    </w:p>
    <w:p w14:paraId="1FB49A8F" w14:textId="77777777" w:rsidR="004D2ED1" w:rsidRPr="0070482F" w:rsidRDefault="004D2ED1" w:rsidP="004D2ED1">
      <w:pPr>
        <w:widowControl w:val="0"/>
        <w:bidi/>
        <w:spacing w:after="0"/>
        <w:ind w:firstLine="284"/>
        <w:jc w:val="both"/>
        <w:rPr>
          <w:rFonts w:ascii="Traditional Arabic" w:hAnsi="Traditional Arabic" w:cs="Abz-2 (Badr)"/>
          <w:color w:val="0070C0"/>
          <w:sz w:val="28"/>
          <w:szCs w:val="28"/>
          <w:rtl/>
          <w:lang w:bidi="ar"/>
        </w:rPr>
      </w:pPr>
      <w:r w:rsidRPr="0048652E">
        <w:rPr>
          <w:rFonts w:ascii="Traditional Arabic" w:hAnsi="Traditional Arabic" w:cs="Abz-2 (Badr)"/>
          <w:color w:val="0070C0"/>
          <w:sz w:val="28"/>
          <w:szCs w:val="28"/>
          <w:rtl/>
          <w:lang w:bidi="ar"/>
        </w:rPr>
        <w:t>ووجه الثاني: أن</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 xml:space="preserve"> الختان شرط في صحّة الصلاة ونحوها من العبادات، فلا يجب إلا مع وجوب المشروط.</w:t>
      </w:r>
    </w:p>
    <w:p w14:paraId="6E9A28DA" w14:textId="77777777" w:rsidR="004D2ED1" w:rsidRPr="0048652E" w:rsidRDefault="004D2ED1" w:rsidP="004D2ED1">
      <w:pPr>
        <w:widowControl w:val="0"/>
        <w:bidi/>
        <w:spacing w:after="0"/>
        <w:ind w:firstLine="284"/>
        <w:jc w:val="both"/>
        <w:rPr>
          <w:rFonts w:ascii="Traditional Arabic" w:hAnsi="Traditional Arabic" w:cs="Abz-2 (Badr)"/>
          <w:color w:val="4472C4" w:themeColor="accent1"/>
          <w:sz w:val="28"/>
          <w:szCs w:val="28"/>
          <w:rtl/>
          <w:lang w:bidi="fa-IR"/>
        </w:rPr>
      </w:pPr>
      <w:r w:rsidRPr="0048652E">
        <w:rPr>
          <w:rFonts w:ascii="Traditional Arabic" w:hAnsi="Traditional Arabic" w:cs="Abz-2 (Badr)"/>
          <w:color w:val="0070C0"/>
          <w:sz w:val="28"/>
          <w:szCs w:val="28"/>
          <w:rtl/>
          <w:lang w:bidi="ar"/>
        </w:rPr>
        <w:t>ولو سلّم أن</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ه واجب لنفسه فمتعلّقه المكلّف، والأصل براءة ذمّة الولي</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 xml:space="preserve"> من فعله</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 xml:space="preserve"> والأمر قبل البلوغ محمول على الاستحباب، لأن</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 xml:space="preserve"> في بعض الأخبار أن</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ه من السنّة مقرونا</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color w:val="0070C0"/>
          <w:sz w:val="28"/>
          <w:szCs w:val="28"/>
          <w:rtl/>
          <w:lang w:bidi="ar"/>
        </w:rPr>
        <w:t xml:space="preserve"> بثقب ال</w:t>
      </w:r>
      <w:r w:rsidRPr="0070482F">
        <w:rPr>
          <w:rFonts w:ascii="Traditional Arabic" w:hAnsi="Traditional Arabic" w:cs="Abz-2 (Badr)" w:hint="cs"/>
          <w:color w:val="0070C0"/>
          <w:sz w:val="28"/>
          <w:szCs w:val="28"/>
          <w:rtl/>
          <w:lang w:bidi="ar"/>
        </w:rPr>
        <w:t>أُ</w:t>
      </w:r>
      <w:r w:rsidRPr="0048652E">
        <w:rPr>
          <w:rFonts w:ascii="Traditional Arabic" w:hAnsi="Traditional Arabic" w:cs="Abz-2 (Badr)"/>
          <w:color w:val="0070C0"/>
          <w:sz w:val="28"/>
          <w:szCs w:val="28"/>
          <w:rtl/>
          <w:lang w:bidi="ar"/>
        </w:rPr>
        <w:t>ذن المتعيّن حمله على الاستحباب، وإن كانت السنّة في نفسها أعمّ‌ من الواجب.</w:t>
      </w:r>
      <w:r w:rsidRPr="0070482F">
        <w:rPr>
          <w:rFonts w:ascii="Traditional Arabic" w:hAnsi="Traditional Arabic" w:cs="Abz-2 (Badr)" w:hint="cs"/>
          <w:color w:val="0070C0"/>
          <w:sz w:val="28"/>
          <w:szCs w:val="28"/>
          <w:rtl/>
          <w:lang w:bidi="ar"/>
        </w:rPr>
        <w:t>..»</w:t>
      </w:r>
      <w:r w:rsidRPr="0048652E">
        <w:rPr>
          <w:rFonts w:ascii="Traditional Arabic" w:hAnsi="Traditional Arabic" w:cs="Abz-2 (Badr)"/>
          <w:sz w:val="28"/>
          <w:szCs w:val="28"/>
          <w:vertAlign w:val="superscript"/>
          <w:rtl/>
          <w:lang w:bidi="ar"/>
        </w:rPr>
        <w:footnoteReference w:id="2"/>
      </w:r>
    </w:p>
    <w:p w14:paraId="37CF5BF6" w14:textId="1C4A166B" w:rsidR="0048652E" w:rsidRDefault="005D0294" w:rsidP="004D2ED1">
      <w:pPr>
        <w:widowControl w:val="0"/>
        <w:bidi/>
        <w:spacing w:after="0" w:line="254" w:lineRule="auto"/>
        <w:ind w:firstLine="284"/>
        <w:jc w:val="both"/>
        <w:rPr>
          <w:rFonts w:ascii="Traditional Arabic" w:hAnsi="Traditional Arabic" w:cs="Abz-2 (Badr)"/>
          <w:color w:val="000000" w:themeColor="text1"/>
          <w:sz w:val="28"/>
          <w:szCs w:val="28"/>
          <w:rtl/>
          <w:lang w:bidi="fa-IR"/>
        </w:rPr>
      </w:pPr>
      <w:bookmarkStart w:id="1" w:name="_Hlk188093257"/>
      <w:r>
        <w:rPr>
          <w:rFonts w:ascii="Traditional Arabic" w:hAnsi="Traditional Arabic" w:cs="Abz-2 (Badr)" w:hint="cs"/>
          <w:color w:val="000000" w:themeColor="text1"/>
          <w:sz w:val="28"/>
          <w:szCs w:val="28"/>
          <w:rtl/>
          <w:lang w:bidi="fa-IR"/>
        </w:rPr>
        <w:t xml:space="preserve">ولی به فرمايشات ايشان </w:t>
      </w:r>
      <w:r w:rsidR="00EA1E86">
        <w:rPr>
          <w:rFonts w:ascii="Traditional Arabic" w:hAnsi="Traditional Arabic" w:cs="Abz-2 (Badr)" w:hint="cs"/>
          <w:color w:val="000000" w:themeColor="text1"/>
          <w:sz w:val="28"/>
          <w:szCs w:val="28"/>
          <w:rtl/>
          <w:lang w:bidi="fa-IR"/>
        </w:rPr>
        <w:t>چند</w:t>
      </w:r>
      <w:r w:rsidR="00407AEC">
        <w:rPr>
          <w:rFonts w:ascii="Traditional Arabic" w:hAnsi="Traditional Arabic" w:cs="Abz-2 (Badr)" w:hint="cs"/>
          <w:color w:val="000000" w:themeColor="text1"/>
          <w:sz w:val="28"/>
          <w:szCs w:val="28"/>
          <w:rtl/>
          <w:lang w:bidi="fa-IR"/>
        </w:rPr>
        <w:t xml:space="preserve"> اشکال </w:t>
      </w:r>
      <w:r>
        <w:rPr>
          <w:rFonts w:ascii="Traditional Arabic" w:hAnsi="Traditional Arabic" w:cs="Abz-2 (Badr)" w:hint="cs"/>
          <w:color w:val="000000" w:themeColor="text1"/>
          <w:sz w:val="28"/>
          <w:szCs w:val="28"/>
          <w:rtl/>
          <w:lang w:bidi="fa-IR"/>
        </w:rPr>
        <w:t xml:space="preserve">وارد است </w:t>
      </w:r>
      <w:r w:rsidR="00407AEC">
        <w:rPr>
          <w:rFonts w:ascii="Traditional Arabic" w:hAnsi="Traditional Arabic" w:cs="Abz-2 (Badr)" w:hint="cs"/>
          <w:color w:val="000000" w:themeColor="text1"/>
          <w:sz w:val="28"/>
          <w:szCs w:val="28"/>
          <w:rtl/>
          <w:lang w:bidi="fa-IR"/>
        </w:rPr>
        <w:t>و آن اين</w:t>
      </w:r>
      <w:r>
        <w:rPr>
          <w:rFonts w:ascii="Traditional Arabic" w:hAnsi="Traditional Arabic" w:cs="Abz-2 (Badr)" w:hint="cs"/>
          <w:color w:val="000000" w:themeColor="text1"/>
          <w:sz w:val="28"/>
          <w:szCs w:val="28"/>
          <w:rtl/>
          <w:lang w:bidi="fa-IR"/>
        </w:rPr>
        <w:t xml:space="preserve"> که او</w:t>
      </w:r>
      <w:r w:rsidR="00237D23">
        <w:rPr>
          <w:rFonts w:ascii="Traditional Arabic" w:hAnsi="Traditional Arabic" w:cs="Abz-2 (Badr)" w:hint="cs"/>
          <w:color w:val="000000" w:themeColor="text1"/>
          <w:sz w:val="28"/>
          <w:szCs w:val="28"/>
          <w:rtl/>
          <w:lang w:bidi="fa-IR"/>
        </w:rPr>
        <w:t>ّ</w:t>
      </w:r>
      <w:r>
        <w:rPr>
          <w:rFonts w:ascii="Traditional Arabic" w:hAnsi="Traditional Arabic" w:cs="Abz-2 (Badr)" w:hint="cs"/>
          <w:color w:val="000000" w:themeColor="text1"/>
          <w:sz w:val="28"/>
          <w:szCs w:val="28"/>
          <w:rtl/>
          <w:lang w:bidi="fa-IR"/>
        </w:rPr>
        <w:t xml:space="preserve">لاً: </w:t>
      </w:r>
      <w:r w:rsidR="00407AEC">
        <w:rPr>
          <w:rFonts w:ascii="Traditional Arabic" w:hAnsi="Traditional Arabic" w:cs="Abz-2 (Badr)" w:hint="cs"/>
          <w:color w:val="000000" w:themeColor="text1"/>
          <w:sz w:val="28"/>
          <w:szCs w:val="28"/>
          <w:rtl/>
          <w:lang w:bidi="fa-IR"/>
        </w:rPr>
        <w:t xml:space="preserve">در اخبار، اطلاقی در امر به ولی برای ختان مولی </w:t>
      </w:r>
      <w:r w:rsidR="00407AEC">
        <w:rPr>
          <w:rFonts w:ascii="Traditional Arabic" w:hAnsi="Traditional Arabic" w:cs="Abz-2 (Badr)" w:hint="cs"/>
          <w:color w:val="000000" w:themeColor="text1"/>
          <w:sz w:val="28"/>
          <w:szCs w:val="28"/>
          <w:rtl/>
          <w:lang w:bidi="fa-IR"/>
        </w:rPr>
        <w:lastRenderedPageBreak/>
        <w:t>عليه وجود ندارد تا بتوان از آن استفاده وجوب نمود، بلکه اخباری که در آنها خطاب به ولی وجود دارد، همگی مقرون به قرائنی هستند که بر اساس آنها معلوم می</w:t>
      </w:r>
      <w:r w:rsidR="00407AEC">
        <w:rPr>
          <w:rFonts w:ascii="Traditional Arabic" w:hAnsi="Traditional Arabic" w:cs="Abz-2 (Badr)"/>
          <w:color w:val="000000" w:themeColor="text1"/>
          <w:sz w:val="28"/>
          <w:szCs w:val="28"/>
          <w:rtl/>
          <w:lang w:bidi="fa-IR"/>
        </w:rPr>
        <w:softHyphen/>
      </w:r>
      <w:r w:rsidR="00407AEC">
        <w:rPr>
          <w:rFonts w:ascii="Traditional Arabic" w:hAnsi="Traditional Arabic" w:cs="Abz-2 (Badr)" w:hint="cs"/>
          <w:color w:val="000000" w:themeColor="text1"/>
          <w:sz w:val="28"/>
          <w:szCs w:val="28"/>
          <w:rtl/>
          <w:lang w:bidi="fa-IR"/>
        </w:rPr>
        <w:t>شود که امر مذکور، استحبابی است.</w:t>
      </w:r>
    </w:p>
    <w:p w14:paraId="47B3698C" w14:textId="4D6E4455" w:rsidR="00237D23" w:rsidRDefault="00237D23" w:rsidP="00237D23">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بله در برخی از اخبار وجوب ختان به نحو مطلق وارد شده است اما خطاب در آن اخبار به ولی نيست، بلکه اصل وجوب خطاب بيان شده است و ظاهر آنها اين است که وجوب متوجه خود مکلّف است نه متوجه ولی قبل از بلوغ مکلّف.</w:t>
      </w:r>
    </w:p>
    <w:p w14:paraId="0FB7D852" w14:textId="5BA91493" w:rsidR="00407AEC" w:rsidRDefault="00407AEC" w:rsidP="00407AEC">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و ثانياً: در هيچ دليلی شرطيت ختان برای نماز وارد نشده است و شايد اين مطلب از سهو قلم باشد و مراد ايشان، شرطيت آن برای طواف باشد.</w:t>
      </w:r>
    </w:p>
    <w:p w14:paraId="36AB6F32" w14:textId="49FD8899" w:rsidR="00EA1E86" w:rsidRPr="00EA1E86" w:rsidRDefault="00EA1E86" w:rsidP="00EA1E86">
      <w:pPr>
        <w:widowControl w:val="0"/>
        <w:bidi/>
        <w:spacing w:after="0" w:line="254" w:lineRule="auto"/>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t>البته صاحب حدائق در توجيه فرمايش شهيد ثانی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فرمايد: </w:t>
      </w:r>
      <w:r w:rsidRPr="00EA1E86">
        <w:rPr>
          <w:rFonts w:ascii="Traditional Arabic" w:hAnsi="Traditional Arabic" w:cs="Abz-2 (Badr)" w:hint="cs"/>
          <w:color w:val="0070C0"/>
          <w:sz w:val="28"/>
          <w:szCs w:val="28"/>
          <w:rtl/>
          <w:lang w:bidi="fa-IR"/>
        </w:rPr>
        <w:t>«</w:t>
      </w:r>
      <w:r w:rsidRPr="00EA1E86">
        <w:rPr>
          <w:rFonts w:ascii="Traditional Arabic" w:hAnsi="Traditional Arabic" w:cs="Abz-2 (Badr)"/>
          <w:color w:val="0070C0"/>
          <w:sz w:val="28"/>
          <w:szCs w:val="28"/>
          <w:rtl/>
          <w:lang w:bidi="ar"/>
        </w:rPr>
        <w:t>استدل</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بعضهم على ذلك بنجاسة الجلدة الساترة</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فإن</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ها لوجوب قطعها في حكم الميتة، وضعفه أظهر من أن يخفى</w:t>
      </w:r>
      <w:r w:rsidRPr="00EA1E86">
        <w:rPr>
          <w:rFonts w:ascii="Traditional Arabic" w:hAnsi="Traditional Arabic" w:cs="Abz-2 (Badr)" w:hint="cs"/>
          <w:color w:val="0070C0"/>
          <w:sz w:val="28"/>
          <w:szCs w:val="28"/>
          <w:rtl/>
          <w:lang w:bidi="ar"/>
        </w:rPr>
        <w:t>.»</w:t>
      </w:r>
      <w:r w:rsidRPr="0048652E">
        <w:rPr>
          <w:rFonts w:ascii="Traditional Arabic" w:hAnsi="Traditional Arabic" w:cs="Abz-2 (Badr)"/>
          <w:sz w:val="28"/>
          <w:szCs w:val="28"/>
          <w:vertAlign w:val="superscript"/>
          <w:rtl/>
          <w:lang w:bidi="ar"/>
        </w:rPr>
        <w:footnoteReference w:id="3"/>
      </w:r>
    </w:p>
    <w:p w14:paraId="47C843A0" w14:textId="77777777" w:rsidR="00EA1E86" w:rsidRDefault="00EA1E86" w:rsidP="00EA1E86">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و ثالثاً: کلام محقق ظهوری در وجوب ختان بر ولی ندارد.</w:t>
      </w:r>
    </w:p>
    <w:p w14:paraId="386657D8" w14:textId="20038A61" w:rsidR="00EA1E86" w:rsidRPr="00EA1E86" w:rsidRDefault="00EA1E86" w:rsidP="00EA1E86">
      <w:pPr>
        <w:widowControl w:val="0"/>
        <w:bidi/>
        <w:spacing w:after="0" w:line="254" w:lineRule="auto"/>
        <w:ind w:firstLine="284"/>
        <w:jc w:val="both"/>
        <w:rPr>
          <w:rFonts w:ascii="Traditional Arabic" w:hAnsi="Traditional Arabic" w:cs="Abz-2 (Badr)"/>
          <w:color w:val="0070C0"/>
          <w:sz w:val="28"/>
          <w:szCs w:val="28"/>
          <w:lang w:bidi="fa-IR"/>
        </w:rPr>
      </w:pPr>
      <w:r>
        <w:rPr>
          <w:rFonts w:ascii="Traditional Arabic" w:hAnsi="Traditional Arabic" w:cs="Abz-2 (Badr)" w:hint="cs"/>
          <w:color w:val="000000" w:themeColor="text1"/>
          <w:sz w:val="28"/>
          <w:szCs w:val="28"/>
          <w:rtl/>
          <w:lang w:bidi="fa-IR"/>
        </w:rPr>
        <w:t>صاحب حدائق در اشکال بر مدعای شهيد ثانی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فرمايد: </w:t>
      </w:r>
      <w:r w:rsidRPr="00EA1E86">
        <w:rPr>
          <w:rFonts w:ascii="Traditional Arabic" w:hAnsi="Traditional Arabic" w:cs="Abz-2 (Badr)" w:hint="cs"/>
          <w:color w:val="0070C0"/>
          <w:sz w:val="28"/>
          <w:szCs w:val="28"/>
          <w:rtl/>
          <w:lang w:bidi="fa-IR"/>
        </w:rPr>
        <w:t>«</w:t>
      </w:r>
      <w:r w:rsidRPr="00EA1E86">
        <w:rPr>
          <w:rFonts w:ascii="Traditional Arabic" w:hAnsi="Traditional Arabic" w:cs="Abz-2 (Badr)"/>
          <w:color w:val="0070C0"/>
          <w:sz w:val="28"/>
          <w:szCs w:val="28"/>
          <w:rtl/>
          <w:lang w:bidi="ar"/>
        </w:rPr>
        <w:t>لا يتحت</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م حمل العبارة المذكورة عليه بحيث لا يمكن احتمال غيره، إذ من الجائز أن يكون قوله</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«والختان واجب» </w:t>
      </w:r>
      <w:r w:rsidRPr="00EA1E86">
        <w:rPr>
          <w:rFonts w:ascii="Traditional Arabic" w:hAnsi="Traditional Arabic" w:cs="Abz-2 (Badr)" w:hint="cs"/>
          <w:color w:val="0070C0"/>
          <w:sz w:val="28"/>
          <w:szCs w:val="28"/>
          <w:rtl/>
          <w:lang w:bidi="ar"/>
        </w:rPr>
        <w:t xml:space="preserve">ـ </w:t>
      </w:r>
      <w:r w:rsidRPr="00EA1E86">
        <w:rPr>
          <w:rFonts w:ascii="Traditional Arabic" w:hAnsi="Traditional Arabic" w:cs="Abz-2 (Badr)"/>
          <w:color w:val="0070C0"/>
          <w:sz w:val="28"/>
          <w:szCs w:val="28"/>
          <w:rtl/>
          <w:lang w:bidi="ar"/>
        </w:rPr>
        <w:t xml:space="preserve">وهو الذي أشار إليه بقوله «لإطلاق حكمه عليه بالوجوب» </w:t>
      </w:r>
      <w:r w:rsidRPr="00EA1E86">
        <w:rPr>
          <w:rFonts w:ascii="Traditional Arabic" w:hAnsi="Traditional Arabic" w:cs="Abz-2 (Badr)" w:hint="cs"/>
          <w:color w:val="0070C0"/>
          <w:sz w:val="28"/>
          <w:szCs w:val="28"/>
          <w:rtl/>
          <w:lang w:bidi="ar"/>
        </w:rPr>
        <w:t xml:space="preserve">ـ </w:t>
      </w:r>
      <w:r w:rsidRPr="00EA1E86">
        <w:rPr>
          <w:rFonts w:ascii="Traditional Arabic" w:hAnsi="Traditional Arabic" w:cs="Abz-2 (Badr)"/>
          <w:color w:val="0070C0"/>
          <w:sz w:val="28"/>
          <w:szCs w:val="28"/>
          <w:rtl/>
          <w:lang w:bidi="ar"/>
        </w:rPr>
        <w:t>إن</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ما هو بالنسبة إلى ما بعد البلوغ، فإن</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ه لم</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ا ذكر أو</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لا</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أن</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الختان مستحب</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يوم السابع ولو أخ</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ر جاز وعلم منه استحباب الختان بعد الولادة وأن</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الفضل في اليوم السابع</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ذكر حكم الختان بعد البلوغ بقوله</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«ولو بلغ ولم يختن وجب عليه أن يختن نفسه»</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وقوله «والختان واجب» يعني بعد البلوغ</w:t>
      </w:r>
      <w:r w:rsidRPr="00EA1E86">
        <w:rPr>
          <w:rFonts w:ascii="Traditional Arabic" w:hAnsi="Traditional Arabic" w:cs="Abz-2 (Badr)" w:hint="cs"/>
          <w:color w:val="0070C0"/>
          <w:sz w:val="28"/>
          <w:szCs w:val="28"/>
          <w:rtl/>
          <w:lang w:bidi="ar"/>
        </w:rPr>
        <w:t>.</w:t>
      </w:r>
    </w:p>
    <w:p w14:paraId="5C6DBF1E" w14:textId="2AFB765D" w:rsidR="00EA1E86" w:rsidRPr="00EA1E86" w:rsidRDefault="00EA1E86" w:rsidP="00EA1E86">
      <w:pPr>
        <w:widowControl w:val="0"/>
        <w:bidi/>
        <w:spacing w:after="0" w:line="254" w:lineRule="auto"/>
        <w:ind w:firstLine="284"/>
        <w:jc w:val="both"/>
        <w:rPr>
          <w:rFonts w:ascii="Traditional Arabic" w:hAnsi="Traditional Arabic" w:cs="Abz-2 (Badr)"/>
          <w:color w:val="0070C0"/>
          <w:sz w:val="28"/>
          <w:szCs w:val="28"/>
          <w:rtl/>
          <w:lang w:bidi="fa-IR"/>
        </w:rPr>
      </w:pPr>
      <w:r w:rsidRPr="00EA1E86">
        <w:rPr>
          <w:rFonts w:ascii="Traditional Arabic" w:hAnsi="Traditional Arabic" w:cs="Abz-2 (Badr)"/>
          <w:color w:val="0070C0"/>
          <w:sz w:val="28"/>
          <w:szCs w:val="28"/>
          <w:rtl/>
          <w:lang w:bidi="ar"/>
        </w:rPr>
        <w:t>وبالجملة</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فإن</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هذه الجملة متعل</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قة بما قبلها مم</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ا يدل</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على وجوبه بعد البلوغ</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 xml:space="preserve"> ولا ارتباط لها بصدر العبارة الدال</w:t>
      </w:r>
      <w:r w:rsidRPr="00EA1E86">
        <w:rPr>
          <w:rFonts w:ascii="Traditional Arabic" w:hAnsi="Traditional Arabic" w:cs="Abz-2 (Badr)" w:hint="cs"/>
          <w:color w:val="0070C0"/>
          <w:sz w:val="28"/>
          <w:szCs w:val="28"/>
          <w:rtl/>
          <w:lang w:bidi="ar"/>
        </w:rPr>
        <w:t>ّ</w:t>
      </w:r>
      <w:r w:rsidRPr="00EA1E86">
        <w:rPr>
          <w:rFonts w:ascii="Traditional Arabic" w:hAnsi="Traditional Arabic" w:cs="Abz-2 (Badr)"/>
          <w:color w:val="0070C0"/>
          <w:sz w:val="28"/>
          <w:szCs w:val="28"/>
          <w:rtl/>
          <w:lang w:bidi="ar"/>
        </w:rPr>
        <w:t>ة على استحبابه بعد الولادة</w:t>
      </w:r>
      <w:r w:rsidRPr="00EA1E86">
        <w:rPr>
          <w:rFonts w:ascii="Traditional Arabic" w:hAnsi="Traditional Arabic" w:cs="Abz-2 (Badr)" w:hint="cs"/>
          <w:color w:val="0070C0"/>
          <w:sz w:val="28"/>
          <w:szCs w:val="28"/>
          <w:rtl/>
          <w:lang w:bidi="ar"/>
        </w:rPr>
        <w:t>.»</w:t>
      </w:r>
      <w:r w:rsidRPr="0048652E">
        <w:rPr>
          <w:rFonts w:ascii="Traditional Arabic" w:hAnsi="Traditional Arabic" w:cs="Abz-2 (Badr)"/>
          <w:sz w:val="28"/>
          <w:szCs w:val="28"/>
          <w:vertAlign w:val="superscript"/>
          <w:rtl/>
          <w:lang w:bidi="ar"/>
        </w:rPr>
        <w:footnoteReference w:id="4"/>
      </w:r>
    </w:p>
    <w:p w14:paraId="5F78217B" w14:textId="5196FEB9" w:rsidR="00407AEC" w:rsidRDefault="00237D23" w:rsidP="00407AEC">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اما استدلالی که </w:t>
      </w:r>
      <w:r w:rsidR="00EA1E86">
        <w:rPr>
          <w:rFonts w:ascii="Traditional Arabic" w:hAnsi="Traditional Arabic" w:cs="Abz-2 (Badr)" w:hint="cs"/>
          <w:color w:val="000000" w:themeColor="text1"/>
          <w:sz w:val="28"/>
          <w:szCs w:val="28"/>
          <w:rtl/>
          <w:lang w:bidi="fa-IR"/>
        </w:rPr>
        <w:t xml:space="preserve">شهيد ثانی </w:t>
      </w:r>
      <w:r>
        <w:rPr>
          <w:rFonts w:ascii="Traditional Arabic" w:hAnsi="Traditional Arabic" w:cs="Abz-2 (Badr)" w:hint="cs"/>
          <w:color w:val="000000" w:themeColor="text1"/>
          <w:sz w:val="28"/>
          <w:szCs w:val="28"/>
          <w:rtl/>
          <w:lang w:bidi="fa-IR"/>
        </w:rPr>
        <w:t>برای عدم وجوب ختان مولی عليه بر ولی کرده</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اند، استدلال تمامی است.</w:t>
      </w:r>
    </w:p>
    <w:p w14:paraId="44D66010" w14:textId="7D77E3D3" w:rsidR="00237D23" w:rsidRPr="00237D23" w:rsidRDefault="00237D23" w:rsidP="00237D23">
      <w:pPr>
        <w:widowControl w:val="0"/>
        <w:bidi/>
        <w:spacing w:after="0" w:line="254" w:lineRule="auto"/>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t>سيد عاملی نيز بعد از ذکر مدعای علامه در تحرير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فرمايد: </w:t>
      </w:r>
      <w:r w:rsidRPr="00237D23">
        <w:rPr>
          <w:rFonts w:ascii="Traditional Arabic" w:hAnsi="Traditional Arabic" w:cs="Abz-2 (Badr)" w:hint="cs"/>
          <w:color w:val="0070C0"/>
          <w:sz w:val="28"/>
          <w:szCs w:val="28"/>
          <w:rtl/>
          <w:lang w:bidi="fa-IR"/>
        </w:rPr>
        <w:t>«</w:t>
      </w:r>
      <w:r w:rsidRPr="00237D23">
        <w:rPr>
          <w:rFonts w:ascii="Traditional Arabic" w:hAnsi="Traditional Arabic" w:cs="Abz-2 (Badr)"/>
          <w:color w:val="0070C0"/>
          <w:sz w:val="28"/>
          <w:szCs w:val="28"/>
          <w:rtl/>
          <w:lang w:bidi="ar"/>
        </w:rPr>
        <w:t>ربّما كان مستنده إطلاق الروايات المتضمّنة لأمر الولي</w:t>
      </w:r>
      <w:r w:rsidRPr="00237D23">
        <w:rPr>
          <w:rFonts w:ascii="Traditional Arabic" w:hAnsi="Traditional Arabic" w:cs="Abz-2 (Badr)" w:hint="cs"/>
          <w:color w:val="0070C0"/>
          <w:sz w:val="28"/>
          <w:szCs w:val="28"/>
          <w:rtl/>
          <w:lang w:bidi="ar"/>
        </w:rPr>
        <w:t>ّ</w:t>
      </w:r>
      <w:r w:rsidRPr="00237D23">
        <w:rPr>
          <w:rFonts w:ascii="Traditional Arabic" w:hAnsi="Traditional Arabic" w:cs="Abz-2 (Badr)"/>
          <w:color w:val="0070C0"/>
          <w:sz w:val="28"/>
          <w:szCs w:val="28"/>
          <w:rtl/>
          <w:lang w:bidi="ar"/>
        </w:rPr>
        <w:t xml:space="preserve"> </w:t>
      </w:r>
      <w:r w:rsidRPr="00237D23">
        <w:rPr>
          <w:rFonts w:ascii="Traditional Arabic" w:hAnsi="Traditional Arabic" w:cs="Abz-2 (Badr)"/>
          <w:color w:val="0070C0"/>
          <w:sz w:val="28"/>
          <w:szCs w:val="28"/>
          <w:rtl/>
          <w:lang w:bidi="ar"/>
        </w:rPr>
        <w:lastRenderedPageBreak/>
        <w:t>بذلك</w:t>
      </w:r>
      <w:r w:rsidRPr="00237D23">
        <w:rPr>
          <w:rFonts w:ascii="Traditional Arabic" w:hAnsi="Traditional Arabic" w:cs="Abz-2 (Badr)" w:hint="cs"/>
          <w:color w:val="0070C0"/>
          <w:sz w:val="28"/>
          <w:szCs w:val="28"/>
          <w:rtl/>
          <w:lang w:bidi="ar"/>
        </w:rPr>
        <w:t>، و</w:t>
      </w:r>
      <w:r w:rsidRPr="00237D23">
        <w:rPr>
          <w:rFonts w:ascii="Traditional Arabic" w:hAnsi="Traditional Arabic" w:cs="Abz-2 (Badr)"/>
          <w:color w:val="0070C0"/>
          <w:sz w:val="28"/>
          <w:szCs w:val="28"/>
          <w:rtl/>
          <w:lang w:bidi="ar"/>
        </w:rPr>
        <w:t>هو ضعيف</w:t>
      </w:r>
      <w:r w:rsidRPr="00237D23">
        <w:rPr>
          <w:rFonts w:ascii="Traditional Arabic" w:hAnsi="Traditional Arabic" w:cs="Abz-2 (Badr)" w:hint="cs"/>
          <w:color w:val="0070C0"/>
          <w:sz w:val="28"/>
          <w:szCs w:val="28"/>
          <w:rtl/>
          <w:lang w:bidi="ar"/>
        </w:rPr>
        <w:t>،</w:t>
      </w:r>
      <w:r w:rsidRPr="00237D23">
        <w:rPr>
          <w:rFonts w:ascii="Traditional Arabic" w:hAnsi="Traditional Arabic" w:cs="Abz-2 (Badr)"/>
          <w:color w:val="0070C0"/>
          <w:sz w:val="28"/>
          <w:szCs w:val="28"/>
          <w:rtl/>
          <w:lang w:bidi="ar"/>
        </w:rPr>
        <w:t xml:space="preserve"> للتصريح في صحيحة ابن يقطين بأن</w:t>
      </w:r>
      <w:r w:rsidRPr="00237D23">
        <w:rPr>
          <w:rFonts w:ascii="Traditional Arabic" w:hAnsi="Traditional Arabic" w:cs="Abz-2 (Badr)" w:hint="cs"/>
          <w:color w:val="0070C0"/>
          <w:sz w:val="28"/>
          <w:szCs w:val="28"/>
          <w:rtl/>
          <w:lang w:bidi="ar"/>
        </w:rPr>
        <w:t>ّ</w:t>
      </w:r>
      <w:r w:rsidRPr="00237D23">
        <w:rPr>
          <w:rFonts w:ascii="Traditional Arabic" w:hAnsi="Traditional Arabic" w:cs="Abz-2 (Badr)"/>
          <w:color w:val="0070C0"/>
          <w:sz w:val="28"/>
          <w:szCs w:val="28"/>
          <w:rtl/>
          <w:lang w:bidi="ar"/>
        </w:rPr>
        <w:t>ه لا بأس بالتأخير.</w:t>
      </w:r>
      <w:r w:rsidRPr="00237D23">
        <w:rPr>
          <w:rFonts w:ascii="Traditional Arabic" w:hAnsi="Traditional Arabic" w:cs="Abz-2 (Badr)" w:hint="cs"/>
          <w:color w:val="0070C0"/>
          <w:sz w:val="28"/>
          <w:szCs w:val="28"/>
          <w:rtl/>
          <w:lang w:bidi="ar"/>
        </w:rPr>
        <w:t>»</w:t>
      </w:r>
      <w:r w:rsidRPr="0048652E">
        <w:rPr>
          <w:rFonts w:ascii="Traditional Arabic" w:hAnsi="Traditional Arabic" w:cs="Abz-2 (Badr)"/>
          <w:sz w:val="28"/>
          <w:szCs w:val="28"/>
          <w:vertAlign w:val="superscript"/>
          <w:rtl/>
          <w:lang w:bidi="ar"/>
        </w:rPr>
        <w:footnoteReference w:id="5"/>
      </w:r>
    </w:p>
    <w:p w14:paraId="2BF738DD" w14:textId="67D53BC5" w:rsidR="00E47755" w:rsidRPr="00E47755" w:rsidRDefault="00E47755" w:rsidP="00E47755">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مراد ايشان از صحيحه علی بن يقطين نيز اين روايت است: </w:t>
      </w:r>
      <w:r w:rsidRPr="00E47755">
        <w:rPr>
          <w:rFonts w:ascii="Traditional Arabic" w:hAnsi="Traditional Arabic" w:cs="Abz-2 (Badr)" w:hint="cs"/>
          <w:color w:val="70AD47" w:themeColor="accent6"/>
          <w:sz w:val="28"/>
          <w:szCs w:val="28"/>
          <w:rtl/>
          <w:lang w:bidi="fa-IR"/>
        </w:rPr>
        <w:t>«</w:t>
      </w:r>
      <w:r w:rsidRPr="00E47755">
        <w:rPr>
          <w:rFonts w:ascii="Traditional Arabic" w:hAnsi="Traditional Arabic" w:cs="Abz-2 (Badr)"/>
          <w:color w:val="70AD47" w:themeColor="accent6"/>
          <w:sz w:val="28"/>
          <w:szCs w:val="28"/>
          <w:rtl/>
          <w:lang w:bidi="ar"/>
        </w:rPr>
        <w:t>سألت أبا الحسن</w:t>
      </w:r>
      <w:r w:rsidRPr="00E47755">
        <w:rPr>
          <w:rFonts w:ascii="Traditional Arabic" w:hAnsi="Traditional Arabic" w:cs="Abz-2 (Badr)" w:hint="cs"/>
          <w:color w:val="70AD47" w:themeColor="accent6"/>
          <w:sz w:val="28"/>
          <w:szCs w:val="28"/>
          <w:rtl/>
          <w:lang w:bidi="ar"/>
        </w:rPr>
        <w:t xml:space="preserve">(ع) </w:t>
      </w:r>
      <w:r w:rsidRPr="00E47755">
        <w:rPr>
          <w:rFonts w:ascii="Traditional Arabic" w:hAnsi="Traditional Arabic" w:cs="Abz-2 (Badr)"/>
          <w:color w:val="70AD47" w:themeColor="accent6"/>
          <w:sz w:val="28"/>
          <w:szCs w:val="28"/>
          <w:rtl/>
          <w:lang w:bidi="ar"/>
        </w:rPr>
        <w:t>عن ختان الصبي لسبعة أي</w:t>
      </w:r>
      <w:r w:rsidRPr="00E47755">
        <w:rPr>
          <w:rFonts w:ascii="Traditional Arabic" w:hAnsi="Traditional Arabic" w:cs="Abz-2 (Badr)" w:hint="cs"/>
          <w:color w:val="70AD47" w:themeColor="accent6"/>
          <w:sz w:val="28"/>
          <w:szCs w:val="28"/>
          <w:rtl/>
          <w:lang w:bidi="ar"/>
        </w:rPr>
        <w:t>ّ</w:t>
      </w:r>
      <w:r w:rsidRPr="00E47755">
        <w:rPr>
          <w:rFonts w:ascii="Traditional Arabic" w:hAnsi="Traditional Arabic" w:cs="Abz-2 (Badr)"/>
          <w:color w:val="70AD47" w:themeColor="accent6"/>
          <w:sz w:val="28"/>
          <w:szCs w:val="28"/>
          <w:rtl/>
          <w:lang w:bidi="ar"/>
        </w:rPr>
        <w:t>ام</w:t>
      </w:r>
      <w:r w:rsidRPr="00E47755">
        <w:rPr>
          <w:rFonts w:ascii="Traditional Arabic" w:hAnsi="Traditional Arabic" w:cs="Abz-2 (Badr)" w:hint="cs"/>
          <w:color w:val="70AD47" w:themeColor="accent6"/>
          <w:sz w:val="28"/>
          <w:szCs w:val="28"/>
          <w:rtl/>
          <w:lang w:bidi="ar"/>
        </w:rPr>
        <w:t>،</w:t>
      </w:r>
      <w:r w:rsidRPr="00E47755">
        <w:rPr>
          <w:rFonts w:ascii="Traditional Arabic" w:hAnsi="Traditional Arabic" w:cs="Abz-2 (Badr)"/>
          <w:color w:val="70AD47" w:themeColor="accent6"/>
          <w:sz w:val="28"/>
          <w:szCs w:val="28"/>
          <w:rtl/>
          <w:lang w:bidi="ar"/>
        </w:rPr>
        <w:t xml:space="preserve"> من السن</w:t>
      </w:r>
      <w:r w:rsidRPr="00E47755">
        <w:rPr>
          <w:rFonts w:ascii="Traditional Arabic" w:hAnsi="Traditional Arabic" w:cs="Abz-2 (Badr)" w:hint="cs"/>
          <w:color w:val="70AD47" w:themeColor="accent6"/>
          <w:sz w:val="28"/>
          <w:szCs w:val="28"/>
          <w:rtl/>
          <w:lang w:bidi="ar"/>
        </w:rPr>
        <w:t>ّ</w:t>
      </w:r>
      <w:r w:rsidRPr="00E47755">
        <w:rPr>
          <w:rFonts w:ascii="Traditional Arabic" w:hAnsi="Traditional Arabic" w:cs="Abz-2 (Badr)"/>
          <w:color w:val="70AD47" w:themeColor="accent6"/>
          <w:sz w:val="28"/>
          <w:szCs w:val="28"/>
          <w:rtl/>
          <w:lang w:bidi="ar"/>
        </w:rPr>
        <w:t>ة هو أو يؤخ</w:t>
      </w:r>
      <w:r w:rsidRPr="00E47755">
        <w:rPr>
          <w:rFonts w:ascii="Traditional Arabic" w:hAnsi="Traditional Arabic" w:cs="Abz-2 (Badr)" w:hint="cs"/>
          <w:color w:val="70AD47" w:themeColor="accent6"/>
          <w:sz w:val="28"/>
          <w:szCs w:val="28"/>
          <w:rtl/>
          <w:lang w:bidi="ar"/>
        </w:rPr>
        <w:t>ّر؟</w:t>
      </w:r>
      <w:r w:rsidRPr="00E47755">
        <w:rPr>
          <w:rFonts w:ascii="Traditional Arabic" w:hAnsi="Traditional Arabic" w:cs="Abz-2 (Badr)"/>
          <w:color w:val="70AD47" w:themeColor="accent6"/>
          <w:sz w:val="28"/>
          <w:szCs w:val="28"/>
          <w:rtl/>
          <w:lang w:bidi="ar"/>
        </w:rPr>
        <w:t xml:space="preserve"> وأي</w:t>
      </w:r>
      <w:r w:rsidRPr="00E47755">
        <w:rPr>
          <w:rFonts w:ascii="Traditional Arabic" w:hAnsi="Traditional Arabic" w:cs="Abz-2 (Badr)" w:hint="cs"/>
          <w:color w:val="70AD47" w:themeColor="accent6"/>
          <w:sz w:val="28"/>
          <w:szCs w:val="28"/>
          <w:rtl/>
          <w:lang w:bidi="ar"/>
        </w:rPr>
        <w:t>ّ</w:t>
      </w:r>
      <w:r w:rsidRPr="00E47755">
        <w:rPr>
          <w:rFonts w:ascii="Traditional Arabic" w:hAnsi="Traditional Arabic" w:cs="Abz-2 (Badr)"/>
          <w:color w:val="70AD47" w:themeColor="accent6"/>
          <w:sz w:val="28"/>
          <w:szCs w:val="28"/>
          <w:rtl/>
          <w:lang w:bidi="ar"/>
        </w:rPr>
        <w:t>هما أفضل</w:t>
      </w:r>
      <w:r w:rsidRPr="00E47755">
        <w:rPr>
          <w:rFonts w:ascii="Traditional Arabic" w:hAnsi="Traditional Arabic" w:cs="Abz-2 (Badr)" w:hint="cs"/>
          <w:color w:val="70AD47" w:themeColor="accent6"/>
          <w:sz w:val="28"/>
          <w:szCs w:val="28"/>
          <w:rtl/>
          <w:lang w:bidi="ar"/>
        </w:rPr>
        <w:t>؟</w:t>
      </w:r>
      <w:r w:rsidRPr="00E47755">
        <w:rPr>
          <w:rFonts w:ascii="Traditional Arabic" w:hAnsi="Traditional Arabic" w:cs="Abz-2 (Badr)"/>
          <w:color w:val="70AD47" w:themeColor="accent6"/>
          <w:sz w:val="28"/>
          <w:szCs w:val="28"/>
          <w:rtl/>
          <w:lang w:bidi="ar"/>
        </w:rPr>
        <w:t xml:space="preserve"> قال</w:t>
      </w:r>
      <w:r w:rsidRPr="00E47755">
        <w:rPr>
          <w:rFonts w:ascii="Traditional Arabic" w:hAnsi="Traditional Arabic" w:cs="Abz-2 (Badr)" w:hint="cs"/>
          <w:color w:val="70AD47" w:themeColor="accent6"/>
          <w:sz w:val="28"/>
          <w:szCs w:val="28"/>
          <w:rtl/>
          <w:lang w:bidi="ar"/>
        </w:rPr>
        <w:t>:</w:t>
      </w:r>
      <w:r w:rsidRPr="00E47755">
        <w:rPr>
          <w:rFonts w:ascii="Traditional Arabic" w:hAnsi="Traditional Arabic" w:cs="Abz-2 (Badr)"/>
          <w:color w:val="70AD47" w:themeColor="accent6"/>
          <w:sz w:val="28"/>
          <w:szCs w:val="28"/>
          <w:rtl/>
          <w:lang w:bidi="ar"/>
        </w:rPr>
        <w:t xml:space="preserve"> لسبعة أي</w:t>
      </w:r>
      <w:r w:rsidRPr="00E47755">
        <w:rPr>
          <w:rFonts w:ascii="Traditional Arabic" w:hAnsi="Traditional Arabic" w:cs="Abz-2 (Badr)" w:hint="cs"/>
          <w:color w:val="70AD47" w:themeColor="accent6"/>
          <w:sz w:val="28"/>
          <w:szCs w:val="28"/>
          <w:rtl/>
          <w:lang w:bidi="ar"/>
        </w:rPr>
        <w:t>ّ</w:t>
      </w:r>
      <w:r w:rsidRPr="00E47755">
        <w:rPr>
          <w:rFonts w:ascii="Traditional Arabic" w:hAnsi="Traditional Arabic" w:cs="Abz-2 (Badr)"/>
          <w:color w:val="70AD47" w:themeColor="accent6"/>
          <w:sz w:val="28"/>
          <w:szCs w:val="28"/>
          <w:rtl/>
          <w:lang w:bidi="ar"/>
        </w:rPr>
        <w:t>ام من السنّة</w:t>
      </w:r>
      <w:r w:rsidRPr="00E47755">
        <w:rPr>
          <w:rFonts w:ascii="Traditional Arabic" w:hAnsi="Traditional Arabic" w:cs="Abz-2 (Badr)" w:hint="cs"/>
          <w:color w:val="70AD47" w:themeColor="accent6"/>
          <w:sz w:val="28"/>
          <w:szCs w:val="28"/>
          <w:rtl/>
          <w:lang w:bidi="ar"/>
        </w:rPr>
        <w:t>،</w:t>
      </w:r>
      <w:r w:rsidRPr="00E47755">
        <w:rPr>
          <w:rFonts w:ascii="Traditional Arabic" w:hAnsi="Traditional Arabic" w:cs="Abz-2 (Badr)"/>
          <w:color w:val="70AD47" w:themeColor="accent6"/>
          <w:sz w:val="28"/>
          <w:szCs w:val="28"/>
          <w:rtl/>
          <w:lang w:bidi="ar"/>
        </w:rPr>
        <w:t xml:space="preserve"> وإن أخ</w:t>
      </w:r>
      <w:r w:rsidRPr="00E47755">
        <w:rPr>
          <w:rFonts w:ascii="Traditional Arabic" w:hAnsi="Traditional Arabic" w:cs="Abz-2 (Badr)" w:hint="cs"/>
          <w:color w:val="70AD47" w:themeColor="accent6"/>
          <w:sz w:val="28"/>
          <w:szCs w:val="28"/>
          <w:rtl/>
          <w:lang w:bidi="ar"/>
        </w:rPr>
        <w:t>ّ</w:t>
      </w:r>
      <w:r w:rsidRPr="00E47755">
        <w:rPr>
          <w:rFonts w:ascii="Traditional Arabic" w:hAnsi="Traditional Arabic" w:cs="Abz-2 (Badr)"/>
          <w:color w:val="70AD47" w:themeColor="accent6"/>
          <w:sz w:val="28"/>
          <w:szCs w:val="28"/>
          <w:rtl/>
          <w:lang w:bidi="ar"/>
        </w:rPr>
        <w:t>ر فلا بأس.</w:t>
      </w:r>
      <w:r w:rsidRPr="00E47755">
        <w:rPr>
          <w:rFonts w:ascii="Traditional Arabic" w:hAnsi="Traditional Arabic" w:cs="Abz-2 (Badr)" w:hint="cs"/>
          <w:color w:val="70AD47" w:themeColor="accent6"/>
          <w:sz w:val="28"/>
          <w:szCs w:val="28"/>
          <w:rtl/>
          <w:lang w:bidi="ar"/>
        </w:rPr>
        <w:t>»</w:t>
      </w:r>
      <w:r w:rsidRPr="0048652E">
        <w:rPr>
          <w:rFonts w:ascii="Traditional Arabic" w:hAnsi="Traditional Arabic" w:cs="Abz-2 (Badr)"/>
          <w:sz w:val="28"/>
          <w:szCs w:val="28"/>
          <w:vertAlign w:val="superscript"/>
          <w:rtl/>
          <w:lang w:bidi="ar"/>
        </w:rPr>
        <w:footnoteReference w:id="6"/>
      </w:r>
    </w:p>
    <w:p w14:paraId="5245C48E" w14:textId="4019EBA6" w:rsidR="00E47755" w:rsidRPr="00E47755" w:rsidRDefault="00E47755" w:rsidP="00E47755">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صاحب حدائق در پاسخ اين مدعا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فرمايد: </w:t>
      </w:r>
      <w:r w:rsidRPr="00E47755">
        <w:rPr>
          <w:rFonts w:ascii="Traditional Arabic" w:hAnsi="Traditional Arabic" w:cs="Abz-2 (Badr)" w:hint="cs"/>
          <w:color w:val="0070C0"/>
          <w:sz w:val="28"/>
          <w:szCs w:val="28"/>
          <w:rtl/>
          <w:lang w:bidi="fa-IR"/>
        </w:rPr>
        <w:t>«إ</w:t>
      </w:r>
      <w:r w:rsidRPr="00E47755">
        <w:rPr>
          <w:rFonts w:ascii="Traditional Arabic" w:hAnsi="Traditional Arabic" w:cs="Abz-2 (Badr)"/>
          <w:color w:val="0070C0"/>
          <w:sz w:val="28"/>
          <w:szCs w:val="28"/>
          <w:rtl/>
          <w:lang w:bidi="ar"/>
        </w:rPr>
        <w:t>ن</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 xml:space="preserve"> الظاهر من الصحيحة المذكورة إن</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ما هو أن</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ه لا بأس بالتأخير عن السابع، بمعنى أن</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ه لا يتحت</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م له فعله وجوبا</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 xml:space="preserve"> أو استحبابا</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 xml:space="preserve"> في اليوم السابع</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 xml:space="preserve"> بل يجوز التأخير عنه، والقائل بالوجوب إن</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ما أراد به الوجوب الموس</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ع إلى ما قبل البلوغ فيتضي</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ق حينئذ</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 وعلى هذا فلا تكون الرواية منافية لتلك الأخبار التي استند إليها ذلك القائل بالوجوب، وليس المراد أن</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ه لا بأس بالتأخير إلى البلوغ ليتم</w:t>
      </w:r>
      <w:r w:rsidRPr="00E47755">
        <w:rPr>
          <w:rFonts w:ascii="Traditional Arabic" w:hAnsi="Traditional Arabic" w:cs="Abz-2 (Badr)" w:hint="cs"/>
          <w:color w:val="0070C0"/>
          <w:sz w:val="28"/>
          <w:szCs w:val="28"/>
          <w:rtl/>
          <w:lang w:bidi="ar"/>
        </w:rPr>
        <w:t>ّ</w:t>
      </w:r>
      <w:r w:rsidRPr="00E47755">
        <w:rPr>
          <w:rFonts w:ascii="Traditional Arabic" w:hAnsi="Traditional Arabic" w:cs="Abz-2 (Badr)"/>
          <w:color w:val="0070C0"/>
          <w:sz w:val="28"/>
          <w:szCs w:val="28"/>
          <w:rtl/>
          <w:lang w:bidi="ar"/>
        </w:rPr>
        <w:t xml:space="preserve"> ما ذكره.</w:t>
      </w:r>
      <w:r w:rsidRPr="00E47755">
        <w:rPr>
          <w:rFonts w:ascii="Traditional Arabic" w:hAnsi="Traditional Arabic" w:cs="Abz-2 (Badr)" w:hint="cs"/>
          <w:color w:val="0070C0"/>
          <w:sz w:val="28"/>
          <w:szCs w:val="28"/>
          <w:rtl/>
          <w:lang w:bidi="ar"/>
        </w:rPr>
        <w:t>»</w:t>
      </w:r>
      <w:r w:rsidRPr="0048652E">
        <w:rPr>
          <w:rFonts w:ascii="Traditional Arabic" w:hAnsi="Traditional Arabic" w:cs="Abz-2 (Badr)"/>
          <w:sz w:val="28"/>
          <w:szCs w:val="28"/>
          <w:vertAlign w:val="superscript"/>
          <w:rtl/>
          <w:lang w:bidi="ar"/>
        </w:rPr>
        <w:footnoteReference w:id="7"/>
      </w:r>
    </w:p>
    <w:p w14:paraId="6A5BFE49" w14:textId="77777777" w:rsidR="00E47755" w:rsidRDefault="00E47755" w:rsidP="00E47755">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ورود اين اشکال مبتنی بر اين است که «أخّر» در انتهای صحيحه، معلوم خوانده شود که در اين صورت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گفت: مراد اين است که تأخير انداختن ولی بلا اشکال است و اين مطلب منافاتی با اصل وجوب بر او ندارد، و چون وجوب بر ولی مادامی است که ولايت او باقی باشد ـ يعنی قبل از بلوغ ـ پس لازم است که قبل از بلوغ ختان توسط وی انجام گيرد.</w:t>
      </w:r>
    </w:p>
    <w:p w14:paraId="642D855D" w14:textId="7F5FA248" w:rsidR="00E47755" w:rsidRDefault="00E47755" w:rsidP="00E47755">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اگر اين لفظ مجهول خوانده شود،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گفت که اطلاق آن شامل بعد از بلوغ هم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 در نتيجه دليلی برای عدم وجوب بر ولی خواهد بود.</w:t>
      </w:r>
    </w:p>
    <w:p w14:paraId="769BE175" w14:textId="2E3BC999" w:rsidR="00E47755" w:rsidRDefault="00E47755" w:rsidP="00E47755">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بنابر اين حداکثر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گفت: صحيحه مذکور از اين جهت مجمل است.</w:t>
      </w:r>
    </w:p>
    <w:p w14:paraId="326F8AE0" w14:textId="741CC9F2" w:rsidR="00EA1E86" w:rsidRPr="00411EF9" w:rsidRDefault="00EA1E86" w:rsidP="00FB2D38">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در نهايت بايد گفت: دليلی برای وجوب ختان بر ولی وجود ندارد و حداکثر چيزی که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از اخبار استفاده نمود، اصل وجوب آن است که علی القاعده متوجه خود مکلّف است نه شخص ديگری.</w:t>
      </w:r>
      <w:bookmarkEnd w:id="1"/>
    </w:p>
    <w:sectPr w:rsidR="00EA1E86" w:rsidRPr="00411EF9" w:rsidSect="00090560">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5F09E" w14:textId="77777777" w:rsidR="00BB254B" w:rsidRDefault="00BB254B" w:rsidP="00F71127">
      <w:pPr>
        <w:spacing w:after="0" w:line="240" w:lineRule="auto"/>
      </w:pPr>
      <w:r>
        <w:separator/>
      </w:r>
    </w:p>
  </w:endnote>
  <w:endnote w:type="continuationSeparator" w:id="0">
    <w:p w14:paraId="499FB635" w14:textId="77777777" w:rsidR="00BB254B" w:rsidRDefault="00BB254B"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C15A7" w14:textId="77777777" w:rsidR="00090560" w:rsidRDefault="00090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15A5" w14:textId="77777777" w:rsidR="00090560" w:rsidRDefault="00090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7E44B" w14:textId="77777777" w:rsidR="00BB254B" w:rsidRDefault="00BB254B" w:rsidP="00EE25C0">
      <w:pPr>
        <w:bidi/>
        <w:spacing w:after="0" w:line="240" w:lineRule="auto"/>
      </w:pPr>
      <w:r>
        <w:separator/>
      </w:r>
    </w:p>
  </w:footnote>
  <w:footnote w:type="continuationSeparator" w:id="0">
    <w:p w14:paraId="71E05127" w14:textId="77777777" w:rsidR="00BB254B" w:rsidRDefault="00BB254B" w:rsidP="00F71127">
      <w:pPr>
        <w:bidi/>
        <w:spacing w:after="0" w:line="240" w:lineRule="auto"/>
      </w:pPr>
      <w:r>
        <w:continuationSeparator/>
      </w:r>
    </w:p>
  </w:footnote>
  <w:footnote w:id="1">
    <w:p w14:paraId="2B1E2949" w14:textId="77777777" w:rsidR="004D2ED1" w:rsidRPr="00237D23" w:rsidRDefault="004D2ED1" w:rsidP="004D2ED1">
      <w:pPr>
        <w:pStyle w:val="FootnoteText"/>
        <w:bidi/>
        <w:rPr>
          <w:rFonts w:cs="Abz-2 (Badr)"/>
          <w:rtl/>
        </w:rPr>
      </w:pPr>
      <w:r w:rsidRPr="00237D23">
        <w:rPr>
          <w:rStyle w:val="FootnoteReference"/>
          <w:rFonts w:cs="Abz-2 (Badr)"/>
          <w:vertAlign w:val="baseline"/>
        </w:rPr>
        <w:footnoteRef/>
      </w:r>
      <w:r w:rsidRPr="00237D23">
        <w:rPr>
          <w:rFonts w:cs="Abz-2 (Badr)"/>
          <w:rtl/>
          <w:lang w:bidi="fa-IR"/>
        </w:rPr>
        <w:t> </w:t>
      </w:r>
      <w:r w:rsidRPr="00237D23">
        <w:rPr>
          <w:rFonts w:cs="Abz-2 (Badr)" w:hint="cs"/>
          <w:rtl/>
          <w:lang w:bidi="fa-IR"/>
        </w:rPr>
        <w:t xml:space="preserve">ـ </w:t>
      </w:r>
      <w:r w:rsidRPr="00237D23">
        <w:rPr>
          <w:rFonts w:cs="Abz-2 (Badr)"/>
          <w:rtl/>
          <w:lang w:bidi="fa-IR"/>
        </w:rPr>
        <w:t>تحرير</w:t>
      </w:r>
      <w:r w:rsidRPr="00237D23">
        <w:rPr>
          <w:rFonts w:cs="Abz-2 (Badr)" w:hint="cs"/>
          <w:rtl/>
          <w:lang w:bidi="fa-IR"/>
        </w:rPr>
        <w:t>،ج2،ص43</w:t>
      </w:r>
      <w:r w:rsidRPr="00237D23">
        <w:rPr>
          <w:rFonts w:cs="Abz-2 (Badr)"/>
          <w:rtl/>
          <w:lang w:bidi="fa-IR"/>
        </w:rPr>
        <w:t xml:space="preserve">. </w:t>
      </w:r>
    </w:p>
  </w:footnote>
  <w:footnote w:id="2">
    <w:p w14:paraId="3F229330" w14:textId="77777777" w:rsidR="004D2ED1" w:rsidRPr="0048652E" w:rsidRDefault="004D2ED1" w:rsidP="004D2ED1">
      <w:pPr>
        <w:pStyle w:val="FootnoteText"/>
        <w:bidi/>
        <w:rPr>
          <w:rFonts w:cs="Abz-2 (Badr)"/>
          <w:rtl/>
        </w:rPr>
      </w:pPr>
      <w:r w:rsidRPr="00237D23">
        <w:rPr>
          <w:rStyle w:val="FootnoteReference"/>
          <w:rFonts w:cs="Abz-2 (Badr)"/>
          <w:vertAlign w:val="baseline"/>
        </w:rPr>
        <w:footnoteRef/>
      </w:r>
      <w:r w:rsidRPr="00237D23">
        <w:rPr>
          <w:rFonts w:cs="Abz-2 (Badr)"/>
          <w:rtl/>
          <w:lang w:bidi="fa-IR"/>
        </w:rPr>
        <w:t> </w:t>
      </w:r>
      <w:r w:rsidRPr="00237D23">
        <w:rPr>
          <w:rFonts w:cs="Abz-2 (Badr)" w:hint="cs"/>
          <w:rtl/>
          <w:lang w:bidi="fa-IR"/>
        </w:rPr>
        <w:t>ـ</w:t>
      </w:r>
      <w:r>
        <w:rPr>
          <w:rFonts w:cs="Abz-2 (Badr)" w:hint="cs"/>
          <w:rtl/>
          <w:lang w:bidi="fa-IR"/>
        </w:rPr>
        <w:t xml:space="preserve"> مسال</w:t>
      </w:r>
      <w:r>
        <w:rPr>
          <w:rFonts w:cs="Abz-2 (Badr)" w:hint="cs"/>
          <w:rtl/>
        </w:rPr>
        <w:t>ك</w:t>
      </w:r>
      <w:r>
        <w:rPr>
          <w:rFonts w:cs="Abz-2 (Badr)" w:hint="cs"/>
          <w:rtl/>
          <w:lang w:bidi="fa-IR"/>
        </w:rPr>
        <w:t>،ج8،ص402 و 403</w:t>
      </w:r>
      <w:r w:rsidRPr="0048652E">
        <w:rPr>
          <w:rFonts w:cs="Abz-2 (Badr)"/>
          <w:rtl/>
          <w:lang w:bidi="fa-IR"/>
        </w:rPr>
        <w:t xml:space="preserve">. </w:t>
      </w:r>
    </w:p>
  </w:footnote>
  <w:footnote w:id="3">
    <w:p w14:paraId="30FD6693" w14:textId="2AB023C4" w:rsidR="00EA1E86" w:rsidRPr="0048652E" w:rsidRDefault="00EA1E86" w:rsidP="00EA1E86">
      <w:pPr>
        <w:pStyle w:val="FootnoteText"/>
        <w:bidi/>
        <w:rPr>
          <w:rFonts w:cs="Abz-2 (Badr)"/>
          <w:rtl/>
        </w:rPr>
      </w:pPr>
      <w:r w:rsidRPr="00237D23">
        <w:rPr>
          <w:rStyle w:val="FootnoteReference"/>
          <w:rFonts w:cs="Abz-2 (Badr)"/>
          <w:vertAlign w:val="baseline"/>
        </w:rPr>
        <w:footnoteRef/>
      </w:r>
      <w:r w:rsidRPr="00237D23">
        <w:rPr>
          <w:rFonts w:cs="Abz-2 (Badr)"/>
          <w:rtl/>
          <w:lang w:bidi="fa-IR"/>
        </w:rPr>
        <w:t> </w:t>
      </w:r>
      <w:r w:rsidRPr="00237D23">
        <w:rPr>
          <w:rFonts w:cs="Abz-2 (Badr)" w:hint="cs"/>
          <w:rtl/>
          <w:lang w:bidi="fa-IR"/>
        </w:rPr>
        <w:t>ـ</w:t>
      </w:r>
      <w:r>
        <w:rPr>
          <w:rFonts w:cs="Abz-2 (Badr)" w:hint="cs"/>
          <w:rtl/>
          <w:lang w:bidi="fa-IR"/>
        </w:rPr>
        <w:t xml:space="preserve"> حدائق،ج25،ص51 و 52.</w:t>
      </w:r>
    </w:p>
  </w:footnote>
  <w:footnote w:id="4">
    <w:p w14:paraId="2B63ABB7" w14:textId="2210F00D" w:rsidR="00EA1E86" w:rsidRPr="0048652E" w:rsidRDefault="00EA1E86" w:rsidP="00EA1E86">
      <w:pPr>
        <w:pStyle w:val="FootnoteText"/>
        <w:bidi/>
        <w:rPr>
          <w:rFonts w:cs="Abz-2 (Badr)"/>
          <w:rtl/>
        </w:rPr>
      </w:pPr>
      <w:r w:rsidRPr="00237D23">
        <w:rPr>
          <w:rStyle w:val="FootnoteReference"/>
          <w:rFonts w:cs="Abz-2 (Badr)"/>
          <w:vertAlign w:val="baseline"/>
        </w:rPr>
        <w:footnoteRef/>
      </w:r>
      <w:r w:rsidRPr="00237D23">
        <w:rPr>
          <w:rFonts w:cs="Abz-2 (Badr)"/>
          <w:rtl/>
          <w:lang w:bidi="fa-IR"/>
        </w:rPr>
        <w:t> </w:t>
      </w:r>
      <w:r w:rsidRPr="00237D23">
        <w:rPr>
          <w:rFonts w:cs="Abz-2 (Badr)" w:hint="cs"/>
          <w:rtl/>
          <w:lang w:bidi="fa-IR"/>
        </w:rPr>
        <w:t>ـ</w:t>
      </w:r>
      <w:r>
        <w:rPr>
          <w:rFonts w:cs="Abz-2 (Badr)" w:hint="cs"/>
          <w:rtl/>
          <w:lang w:bidi="fa-IR"/>
        </w:rPr>
        <w:t xml:space="preserve"> همان،ص51.</w:t>
      </w:r>
    </w:p>
  </w:footnote>
  <w:footnote w:id="5">
    <w:p w14:paraId="28163616" w14:textId="5590C060" w:rsidR="00237D23" w:rsidRPr="0048652E" w:rsidRDefault="00237D23" w:rsidP="00237D23">
      <w:pPr>
        <w:pStyle w:val="FootnoteText"/>
        <w:bidi/>
        <w:rPr>
          <w:rFonts w:cs="Abz-2 (Badr)"/>
          <w:rtl/>
        </w:rPr>
      </w:pPr>
      <w:r w:rsidRPr="00237D23">
        <w:rPr>
          <w:rStyle w:val="FootnoteReference"/>
          <w:rFonts w:cs="Abz-2 (Badr)"/>
          <w:vertAlign w:val="baseline"/>
        </w:rPr>
        <w:footnoteRef/>
      </w:r>
      <w:r w:rsidRPr="00237D23">
        <w:rPr>
          <w:rFonts w:cs="Abz-2 (Badr)"/>
          <w:rtl/>
          <w:lang w:bidi="fa-IR"/>
        </w:rPr>
        <w:t> </w:t>
      </w:r>
      <w:r w:rsidRPr="00237D23">
        <w:rPr>
          <w:rFonts w:cs="Abz-2 (Badr)" w:hint="cs"/>
          <w:rtl/>
          <w:lang w:bidi="fa-IR"/>
        </w:rPr>
        <w:t>ـ</w:t>
      </w:r>
      <w:r>
        <w:rPr>
          <w:rFonts w:cs="Abz-2 (Badr)" w:hint="cs"/>
          <w:rtl/>
          <w:lang w:bidi="fa-IR"/>
        </w:rPr>
        <w:t xml:space="preserve"> نهاية المرام،ج1،ص</w:t>
      </w:r>
      <w:r w:rsidR="00E47755">
        <w:rPr>
          <w:rFonts w:cs="Abz-2 (Badr)" w:hint="cs"/>
          <w:rtl/>
          <w:lang w:bidi="fa-IR"/>
        </w:rPr>
        <w:t>453</w:t>
      </w:r>
      <w:r w:rsidRPr="0048652E">
        <w:rPr>
          <w:rFonts w:cs="Abz-2 (Badr)"/>
          <w:rtl/>
          <w:lang w:bidi="fa-IR"/>
        </w:rPr>
        <w:t xml:space="preserve">. </w:t>
      </w:r>
    </w:p>
  </w:footnote>
  <w:footnote w:id="6">
    <w:p w14:paraId="3BB25680" w14:textId="223C6E9E" w:rsidR="00E47755" w:rsidRPr="0048652E" w:rsidRDefault="00E47755" w:rsidP="00E47755">
      <w:pPr>
        <w:pStyle w:val="FootnoteText"/>
        <w:bidi/>
        <w:rPr>
          <w:rFonts w:cs="Abz-2 (Badr)"/>
          <w:rtl/>
        </w:rPr>
      </w:pPr>
      <w:r w:rsidRPr="00237D23">
        <w:rPr>
          <w:rStyle w:val="FootnoteReference"/>
          <w:rFonts w:cs="Abz-2 (Badr)"/>
          <w:vertAlign w:val="baseline"/>
        </w:rPr>
        <w:footnoteRef/>
      </w:r>
      <w:r w:rsidRPr="00237D23">
        <w:rPr>
          <w:rFonts w:cs="Abz-2 (Badr)"/>
          <w:rtl/>
          <w:lang w:bidi="fa-IR"/>
        </w:rPr>
        <w:t> </w:t>
      </w:r>
      <w:r w:rsidRPr="00237D23">
        <w:rPr>
          <w:rFonts w:cs="Abz-2 (Badr)" w:hint="cs"/>
          <w:rtl/>
          <w:lang w:bidi="fa-IR"/>
        </w:rPr>
        <w:t>ـ</w:t>
      </w:r>
      <w:r>
        <w:rPr>
          <w:rFonts w:cs="Abz-2 (Badr)" w:hint="cs"/>
          <w:rtl/>
          <w:lang w:bidi="fa-IR"/>
        </w:rPr>
        <w:t xml:space="preserve"> کافی،ج6،ص36،ح7 ـ وسائل،ج21،ص438 و 439،ح27525</w:t>
      </w:r>
      <w:r w:rsidRPr="0048652E">
        <w:rPr>
          <w:rFonts w:cs="Abz-2 (Badr)"/>
          <w:rtl/>
          <w:lang w:bidi="fa-IR"/>
        </w:rPr>
        <w:t xml:space="preserve">. </w:t>
      </w:r>
    </w:p>
  </w:footnote>
  <w:footnote w:id="7">
    <w:p w14:paraId="2DFC7FE5" w14:textId="236CB5FC" w:rsidR="00E47755" w:rsidRPr="0048652E" w:rsidRDefault="00E47755" w:rsidP="00E47755">
      <w:pPr>
        <w:pStyle w:val="FootnoteText"/>
        <w:bidi/>
        <w:rPr>
          <w:rFonts w:cs="Abz-2 (Badr)"/>
          <w:rtl/>
        </w:rPr>
      </w:pPr>
      <w:r w:rsidRPr="00237D23">
        <w:rPr>
          <w:rStyle w:val="FootnoteReference"/>
          <w:rFonts w:cs="Abz-2 (Badr)"/>
          <w:vertAlign w:val="baseline"/>
        </w:rPr>
        <w:footnoteRef/>
      </w:r>
      <w:r w:rsidRPr="00237D23">
        <w:rPr>
          <w:rFonts w:cs="Abz-2 (Badr)"/>
          <w:rtl/>
          <w:lang w:bidi="fa-IR"/>
        </w:rPr>
        <w:t> </w:t>
      </w:r>
      <w:r w:rsidRPr="00237D23">
        <w:rPr>
          <w:rFonts w:cs="Abz-2 (Badr)" w:hint="cs"/>
          <w:rtl/>
          <w:lang w:bidi="fa-IR"/>
        </w:rPr>
        <w:t>ـ</w:t>
      </w:r>
      <w:r>
        <w:rPr>
          <w:rFonts w:cs="Abz-2 (Badr)" w:hint="cs"/>
          <w:rtl/>
          <w:lang w:bidi="fa-IR"/>
        </w:rPr>
        <w:t xml:space="preserve"> حدائق،ج25،ص50</w:t>
      </w:r>
      <w:r w:rsidRPr="0048652E">
        <w:rPr>
          <w:rFonts w:cs="Abz-2 (Badr)"/>
          <w:rtl/>
          <w:lang w:bidi="fa-I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00F71" w14:textId="77777777" w:rsidR="00090560" w:rsidRDefault="000905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6231" w14:textId="76C3E9F3" w:rsidR="00090560" w:rsidRDefault="00090560">
    <w:pPr>
      <w:pStyle w:val="Header"/>
    </w:pPr>
    <w:r>
      <w:rPr>
        <w:noProof/>
      </w:rPr>
      <mc:AlternateContent>
        <mc:Choice Requires="wps">
          <w:drawing>
            <wp:anchor distT="45720" distB="45720" distL="114300" distR="114300" simplePos="0" relativeHeight="251661312" behindDoc="0" locked="0" layoutInCell="1" allowOverlap="1" wp14:anchorId="54F2FEFF" wp14:editId="21AF781D">
              <wp:simplePos x="0" y="0"/>
              <wp:positionH relativeFrom="column">
                <wp:posOffset>1793240</wp:posOffset>
              </wp:positionH>
              <wp:positionV relativeFrom="paragraph">
                <wp:posOffset>182880</wp:posOffset>
              </wp:positionV>
              <wp:extent cx="4438015" cy="1554480"/>
              <wp:effectExtent l="0" t="0" r="63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1554480"/>
                      </a:xfrm>
                      <a:prstGeom prst="rect">
                        <a:avLst/>
                      </a:prstGeom>
                      <a:solidFill>
                        <a:srgbClr val="FFFFFF"/>
                      </a:solidFill>
                      <a:ln w="9525">
                        <a:noFill/>
                        <a:miter lim="800000"/>
                        <a:headEnd/>
                        <a:tailEnd/>
                      </a:ln>
                    </wps:spPr>
                    <wps:txbx>
                      <w:txbxContent>
                        <w:p w14:paraId="56D7B486" w14:textId="0EFA32C2" w:rsidR="00090560" w:rsidRDefault="00090560" w:rsidP="00090560">
                          <w:pPr>
                            <w:bidi/>
                            <w:rPr>
                              <w:rFonts w:cs="B Mehr"/>
                            </w:rPr>
                          </w:pPr>
                          <w:r>
                            <w:rPr>
                              <w:rFonts w:cs="B Mehr" w:hint="cs"/>
                              <w:rtl/>
                            </w:rPr>
                            <w:t>تقریر درس خارج فقه،  استاد حاج سید علی موسوی اردبیلی</w:t>
                          </w:r>
                          <w:r>
                            <w:rPr>
                              <w:rFonts w:cs="B Mehr" w:hint="cs"/>
                            </w:rPr>
                            <w:t xml:space="preserve"> </w:t>
                          </w:r>
                        </w:p>
                        <w:p w14:paraId="2C3559A3" w14:textId="77777777" w:rsidR="00090560" w:rsidRDefault="00090560" w:rsidP="00090560">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15BC9DB5" w14:textId="27E983AD" w:rsidR="00090560" w:rsidRDefault="00090560" w:rsidP="00090560">
                          <w:pPr>
                            <w:bidi/>
                          </w:pPr>
                          <w:r>
                            <w:rPr>
                              <w:rFonts w:cs="B Mehr" w:hint="cs"/>
                              <w:rtl/>
                            </w:rPr>
                            <w:t xml:space="preserve">تاریخ: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 شنبه </w:t>
                          </w:r>
                          <w:r>
                            <w:rPr>
                              <w:rFonts w:cs="B Mehr" w:hint="cs"/>
                              <w:rtl/>
                            </w:rPr>
                            <w:t xml:space="preserve">،   </w:t>
                          </w:r>
                          <w:r>
                            <w:rPr>
                              <w:rFonts w:cs="B Mehr" w:hint="cs"/>
                              <w:rtl/>
                            </w:rPr>
                            <w:t>30</w:t>
                          </w:r>
                          <w:r>
                            <w:rPr>
                              <w:rFonts w:cs="B Mehr" w:hint="cs"/>
                              <w:rtl/>
                            </w:rPr>
                            <w:t xml:space="preserve">      دی  ماه - 1403ه.ش</w:t>
                          </w:r>
                        </w:p>
                        <w:p w14:paraId="7FFAD3E9" w14:textId="77777777" w:rsidR="00090560" w:rsidRDefault="00090560" w:rsidP="00090560"/>
                        <w:p w14:paraId="54A08376" w14:textId="77777777" w:rsidR="00090560" w:rsidRDefault="00090560" w:rsidP="00090560"/>
                        <w:p w14:paraId="2CE01C69" w14:textId="77777777" w:rsidR="00090560" w:rsidRDefault="00090560" w:rsidP="00090560"/>
                        <w:p w14:paraId="2CAEBA1E" w14:textId="77777777" w:rsidR="00090560" w:rsidRDefault="00090560" w:rsidP="00090560"/>
                        <w:p w14:paraId="4626DFCC" w14:textId="77777777" w:rsidR="00090560" w:rsidRDefault="00090560" w:rsidP="00090560"/>
                        <w:p w14:paraId="5C647936" w14:textId="77777777" w:rsidR="00090560" w:rsidRDefault="00090560" w:rsidP="00090560"/>
                        <w:p w14:paraId="158B003C" w14:textId="77777777" w:rsidR="00090560" w:rsidRDefault="00090560" w:rsidP="00090560"/>
                        <w:p w14:paraId="1094BBB1" w14:textId="77777777" w:rsidR="00090560" w:rsidRDefault="00090560" w:rsidP="00090560"/>
                        <w:p w14:paraId="34F12A20" w14:textId="77777777" w:rsidR="00090560" w:rsidRDefault="00090560" w:rsidP="00090560"/>
                        <w:p w14:paraId="22E9E9A4" w14:textId="77777777" w:rsidR="00090560" w:rsidRDefault="00090560" w:rsidP="00090560"/>
                        <w:p w14:paraId="02B4EE28" w14:textId="77777777" w:rsidR="00090560" w:rsidRDefault="00090560" w:rsidP="00090560"/>
                        <w:p w14:paraId="72212322" w14:textId="77777777" w:rsidR="00090560" w:rsidRDefault="00090560" w:rsidP="00090560"/>
                        <w:p w14:paraId="7C4DCECE" w14:textId="77777777" w:rsidR="00090560" w:rsidRDefault="00090560" w:rsidP="00090560"/>
                        <w:p w14:paraId="5003A48E" w14:textId="77777777" w:rsidR="00090560" w:rsidRDefault="00090560" w:rsidP="00090560"/>
                        <w:p w14:paraId="36CCAED5" w14:textId="77777777" w:rsidR="00090560" w:rsidRDefault="00090560" w:rsidP="00090560"/>
                        <w:p w14:paraId="655BF3A6" w14:textId="77777777" w:rsidR="00090560" w:rsidRDefault="00090560" w:rsidP="00090560"/>
                        <w:p w14:paraId="139F1215" w14:textId="77777777" w:rsidR="00090560" w:rsidRDefault="00090560" w:rsidP="00090560"/>
                        <w:p w14:paraId="58855CE2" w14:textId="77777777" w:rsidR="00090560" w:rsidRDefault="00090560" w:rsidP="00090560"/>
                        <w:p w14:paraId="0F493F38" w14:textId="77777777" w:rsidR="00090560" w:rsidRDefault="00090560" w:rsidP="00090560"/>
                        <w:p w14:paraId="080AF727" w14:textId="77777777" w:rsidR="00090560" w:rsidRDefault="00090560" w:rsidP="00090560"/>
                        <w:p w14:paraId="714EF5F8" w14:textId="27234426" w:rsidR="00090560" w:rsidRDefault="00090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2FEFF" id="_x0000_t202" coordsize="21600,21600" o:spt="202" path="m,l,21600r21600,l21600,xe">
              <v:stroke joinstyle="miter"/>
              <v:path gradientshapeok="t" o:connecttype="rect"/>
            </v:shapetype>
            <v:shape id="Text Box 2" o:spid="_x0000_s1026" type="#_x0000_t202" style="position:absolute;margin-left:141.2pt;margin-top:14.4pt;width:349.45pt;height:12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" stroked="f">
              <v:textbox>
                <w:txbxContent>
                  <w:p w14:paraId="56D7B486" w14:textId="0EFA32C2" w:rsidR="00090560" w:rsidRDefault="00090560" w:rsidP="00090560">
                    <w:pPr>
                      <w:bidi/>
                      <w:rPr>
                        <w:rFonts w:cs="B Mehr"/>
                      </w:rPr>
                    </w:pPr>
                    <w:r>
                      <w:rPr>
                        <w:rFonts w:cs="B Mehr" w:hint="cs"/>
                        <w:rtl/>
                      </w:rPr>
                      <w:t>تقریر درس خارج فقه،  استاد حاج سید علی موسوی اردبیلی</w:t>
                    </w:r>
                    <w:r>
                      <w:rPr>
                        <w:rFonts w:cs="B Mehr" w:hint="cs"/>
                      </w:rPr>
                      <w:t xml:space="preserve"> </w:t>
                    </w:r>
                  </w:p>
                  <w:p w14:paraId="2C3559A3" w14:textId="77777777" w:rsidR="00090560" w:rsidRDefault="00090560" w:rsidP="00090560">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15BC9DB5" w14:textId="27E983AD" w:rsidR="00090560" w:rsidRDefault="00090560" w:rsidP="00090560">
                    <w:pPr>
                      <w:bidi/>
                    </w:pPr>
                    <w:r>
                      <w:rPr>
                        <w:rFonts w:cs="B Mehr" w:hint="cs"/>
                        <w:rtl/>
                      </w:rPr>
                      <w:t xml:space="preserve">تاریخ: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 شنبه </w:t>
                    </w:r>
                    <w:r>
                      <w:rPr>
                        <w:rFonts w:cs="B Mehr" w:hint="cs"/>
                        <w:rtl/>
                      </w:rPr>
                      <w:t xml:space="preserve">،   </w:t>
                    </w:r>
                    <w:r>
                      <w:rPr>
                        <w:rFonts w:cs="B Mehr" w:hint="cs"/>
                        <w:rtl/>
                      </w:rPr>
                      <w:t>30</w:t>
                    </w:r>
                    <w:r>
                      <w:rPr>
                        <w:rFonts w:cs="B Mehr" w:hint="cs"/>
                        <w:rtl/>
                      </w:rPr>
                      <w:t xml:space="preserve">      دی  ماه - 1403ه.ش</w:t>
                    </w:r>
                  </w:p>
                  <w:p w14:paraId="7FFAD3E9" w14:textId="77777777" w:rsidR="00090560" w:rsidRDefault="00090560" w:rsidP="00090560"/>
                  <w:p w14:paraId="54A08376" w14:textId="77777777" w:rsidR="00090560" w:rsidRDefault="00090560" w:rsidP="00090560"/>
                  <w:p w14:paraId="2CE01C69" w14:textId="77777777" w:rsidR="00090560" w:rsidRDefault="00090560" w:rsidP="00090560"/>
                  <w:p w14:paraId="2CAEBA1E" w14:textId="77777777" w:rsidR="00090560" w:rsidRDefault="00090560" w:rsidP="00090560"/>
                  <w:p w14:paraId="4626DFCC" w14:textId="77777777" w:rsidR="00090560" w:rsidRDefault="00090560" w:rsidP="00090560"/>
                  <w:p w14:paraId="5C647936" w14:textId="77777777" w:rsidR="00090560" w:rsidRDefault="00090560" w:rsidP="00090560"/>
                  <w:p w14:paraId="158B003C" w14:textId="77777777" w:rsidR="00090560" w:rsidRDefault="00090560" w:rsidP="00090560"/>
                  <w:p w14:paraId="1094BBB1" w14:textId="77777777" w:rsidR="00090560" w:rsidRDefault="00090560" w:rsidP="00090560"/>
                  <w:p w14:paraId="34F12A20" w14:textId="77777777" w:rsidR="00090560" w:rsidRDefault="00090560" w:rsidP="00090560"/>
                  <w:p w14:paraId="22E9E9A4" w14:textId="77777777" w:rsidR="00090560" w:rsidRDefault="00090560" w:rsidP="00090560"/>
                  <w:p w14:paraId="02B4EE28" w14:textId="77777777" w:rsidR="00090560" w:rsidRDefault="00090560" w:rsidP="00090560"/>
                  <w:p w14:paraId="72212322" w14:textId="77777777" w:rsidR="00090560" w:rsidRDefault="00090560" w:rsidP="00090560"/>
                  <w:p w14:paraId="7C4DCECE" w14:textId="77777777" w:rsidR="00090560" w:rsidRDefault="00090560" w:rsidP="00090560"/>
                  <w:p w14:paraId="5003A48E" w14:textId="77777777" w:rsidR="00090560" w:rsidRDefault="00090560" w:rsidP="00090560"/>
                  <w:p w14:paraId="36CCAED5" w14:textId="77777777" w:rsidR="00090560" w:rsidRDefault="00090560" w:rsidP="00090560"/>
                  <w:p w14:paraId="655BF3A6" w14:textId="77777777" w:rsidR="00090560" w:rsidRDefault="00090560" w:rsidP="00090560"/>
                  <w:p w14:paraId="139F1215" w14:textId="77777777" w:rsidR="00090560" w:rsidRDefault="00090560" w:rsidP="00090560"/>
                  <w:p w14:paraId="58855CE2" w14:textId="77777777" w:rsidR="00090560" w:rsidRDefault="00090560" w:rsidP="00090560"/>
                  <w:p w14:paraId="0F493F38" w14:textId="77777777" w:rsidR="00090560" w:rsidRDefault="00090560" w:rsidP="00090560"/>
                  <w:p w14:paraId="080AF727" w14:textId="77777777" w:rsidR="00090560" w:rsidRDefault="00090560" w:rsidP="00090560"/>
                  <w:p w14:paraId="714EF5F8" w14:textId="27234426" w:rsidR="00090560" w:rsidRDefault="00090560"/>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5BB6DAC0" wp14:editId="10F2CC7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A858" w14:textId="77777777" w:rsidR="00090560" w:rsidRDefault="0009056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523"/>
    <w:rsid w:val="00035CD8"/>
    <w:rsid w:val="00036790"/>
    <w:rsid w:val="00036B68"/>
    <w:rsid w:val="00037004"/>
    <w:rsid w:val="000373FE"/>
    <w:rsid w:val="00040D26"/>
    <w:rsid w:val="00040FC9"/>
    <w:rsid w:val="000419DB"/>
    <w:rsid w:val="0004418F"/>
    <w:rsid w:val="00045243"/>
    <w:rsid w:val="00045A06"/>
    <w:rsid w:val="0004669E"/>
    <w:rsid w:val="00047470"/>
    <w:rsid w:val="00047F82"/>
    <w:rsid w:val="00054579"/>
    <w:rsid w:val="00054C3B"/>
    <w:rsid w:val="00054FF4"/>
    <w:rsid w:val="0005502A"/>
    <w:rsid w:val="00055996"/>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69"/>
    <w:rsid w:val="000660A5"/>
    <w:rsid w:val="00066A8F"/>
    <w:rsid w:val="00066E47"/>
    <w:rsid w:val="0007062A"/>
    <w:rsid w:val="0007210D"/>
    <w:rsid w:val="000728C1"/>
    <w:rsid w:val="00074A84"/>
    <w:rsid w:val="00074CA0"/>
    <w:rsid w:val="00074CC5"/>
    <w:rsid w:val="00077DB5"/>
    <w:rsid w:val="000812F3"/>
    <w:rsid w:val="000822A0"/>
    <w:rsid w:val="000839C0"/>
    <w:rsid w:val="00084447"/>
    <w:rsid w:val="00084971"/>
    <w:rsid w:val="00084A49"/>
    <w:rsid w:val="00085012"/>
    <w:rsid w:val="00085EBF"/>
    <w:rsid w:val="000877D0"/>
    <w:rsid w:val="000879BF"/>
    <w:rsid w:val="00090434"/>
    <w:rsid w:val="00090560"/>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30B88"/>
    <w:rsid w:val="0013202D"/>
    <w:rsid w:val="00132DC6"/>
    <w:rsid w:val="0013302F"/>
    <w:rsid w:val="0013340D"/>
    <w:rsid w:val="00133689"/>
    <w:rsid w:val="0013391F"/>
    <w:rsid w:val="00133946"/>
    <w:rsid w:val="00133B06"/>
    <w:rsid w:val="00134025"/>
    <w:rsid w:val="001347DB"/>
    <w:rsid w:val="00134C8B"/>
    <w:rsid w:val="0013568B"/>
    <w:rsid w:val="0013641F"/>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0C41"/>
    <w:rsid w:val="00171AD3"/>
    <w:rsid w:val="00172417"/>
    <w:rsid w:val="00172532"/>
    <w:rsid w:val="001725C5"/>
    <w:rsid w:val="001727A1"/>
    <w:rsid w:val="001729FF"/>
    <w:rsid w:val="00173118"/>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C21"/>
    <w:rsid w:val="00195E80"/>
    <w:rsid w:val="00196B6F"/>
    <w:rsid w:val="00196FFE"/>
    <w:rsid w:val="00197DDA"/>
    <w:rsid w:val="001A04BA"/>
    <w:rsid w:val="001A1180"/>
    <w:rsid w:val="001A139F"/>
    <w:rsid w:val="001A1B2F"/>
    <w:rsid w:val="001A1C65"/>
    <w:rsid w:val="001A2687"/>
    <w:rsid w:val="001A290F"/>
    <w:rsid w:val="001A2B9A"/>
    <w:rsid w:val="001A3C28"/>
    <w:rsid w:val="001A58DF"/>
    <w:rsid w:val="001A6859"/>
    <w:rsid w:val="001A6D37"/>
    <w:rsid w:val="001A7DC9"/>
    <w:rsid w:val="001A7FC9"/>
    <w:rsid w:val="001B0500"/>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B8A"/>
    <w:rsid w:val="00255658"/>
    <w:rsid w:val="00256101"/>
    <w:rsid w:val="002562D1"/>
    <w:rsid w:val="00256EAE"/>
    <w:rsid w:val="002578E2"/>
    <w:rsid w:val="0026081F"/>
    <w:rsid w:val="00261617"/>
    <w:rsid w:val="00261680"/>
    <w:rsid w:val="002627BE"/>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3CC"/>
    <w:rsid w:val="002B7F7E"/>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21"/>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B6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F43"/>
    <w:rsid w:val="0041737F"/>
    <w:rsid w:val="00417639"/>
    <w:rsid w:val="004217BF"/>
    <w:rsid w:val="00421BF7"/>
    <w:rsid w:val="00422314"/>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D"/>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5E0C"/>
    <w:rsid w:val="004C68CC"/>
    <w:rsid w:val="004C6CE6"/>
    <w:rsid w:val="004C7429"/>
    <w:rsid w:val="004D06C9"/>
    <w:rsid w:val="004D0F9E"/>
    <w:rsid w:val="004D1738"/>
    <w:rsid w:val="004D2019"/>
    <w:rsid w:val="004D2ED1"/>
    <w:rsid w:val="004D3D43"/>
    <w:rsid w:val="004D3EF3"/>
    <w:rsid w:val="004D6275"/>
    <w:rsid w:val="004D6B0B"/>
    <w:rsid w:val="004D6CFD"/>
    <w:rsid w:val="004D6EA3"/>
    <w:rsid w:val="004E01DE"/>
    <w:rsid w:val="004E0630"/>
    <w:rsid w:val="004E10EF"/>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DA0"/>
    <w:rsid w:val="00501E11"/>
    <w:rsid w:val="00501E40"/>
    <w:rsid w:val="00504523"/>
    <w:rsid w:val="0050477B"/>
    <w:rsid w:val="005049A1"/>
    <w:rsid w:val="005069E4"/>
    <w:rsid w:val="00506C55"/>
    <w:rsid w:val="0051282F"/>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6A0"/>
    <w:rsid w:val="00544CDE"/>
    <w:rsid w:val="00546132"/>
    <w:rsid w:val="00546A59"/>
    <w:rsid w:val="005470EC"/>
    <w:rsid w:val="005502C8"/>
    <w:rsid w:val="0055085C"/>
    <w:rsid w:val="00550B0E"/>
    <w:rsid w:val="00551367"/>
    <w:rsid w:val="0055269E"/>
    <w:rsid w:val="0055315A"/>
    <w:rsid w:val="005532E0"/>
    <w:rsid w:val="00553305"/>
    <w:rsid w:val="00553758"/>
    <w:rsid w:val="005545A6"/>
    <w:rsid w:val="00554D35"/>
    <w:rsid w:val="0055671F"/>
    <w:rsid w:val="00556729"/>
    <w:rsid w:val="00556776"/>
    <w:rsid w:val="005568E8"/>
    <w:rsid w:val="00557416"/>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E40"/>
    <w:rsid w:val="005834FF"/>
    <w:rsid w:val="00584993"/>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667B"/>
    <w:rsid w:val="005B6905"/>
    <w:rsid w:val="005B7A82"/>
    <w:rsid w:val="005C1591"/>
    <w:rsid w:val="005C2DC4"/>
    <w:rsid w:val="005C3A1D"/>
    <w:rsid w:val="005C577D"/>
    <w:rsid w:val="005C60D7"/>
    <w:rsid w:val="005C654C"/>
    <w:rsid w:val="005C6E90"/>
    <w:rsid w:val="005C7D5D"/>
    <w:rsid w:val="005D0294"/>
    <w:rsid w:val="005D1A30"/>
    <w:rsid w:val="005D1C00"/>
    <w:rsid w:val="005D2D13"/>
    <w:rsid w:val="005D3E93"/>
    <w:rsid w:val="005D4071"/>
    <w:rsid w:val="005D432C"/>
    <w:rsid w:val="005D4482"/>
    <w:rsid w:val="005D4F3E"/>
    <w:rsid w:val="005D571F"/>
    <w:rsid w:val="005D6533"/>
    <w:rsid w:val="005D73CF"/>
    <w:rsid w:val="005E052A"/>
    <w:rsid w:val="005E06DE"/>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6F15"/>
    <w:rsid w:val="007574DF"/>
    <w:rsid w:val="00757811"/>
    <w:rsid w:val="007606C7"/>
    <w:rsid w:val="00760B14"/>
    <w:rsid w:val="00761208"/>
    <w:rsid w:val="00763F19"/>
    <w:rsid w:val="007641CF"/>
    <w:rsid w:val="00764E6D"/>
    <w:rsid w:val="007650EB"/>
    <w:rsid w:val="007665F3"/>
    <w:rsid w:val="00766E11"/>
    <w:rsid w:val="0076748F"/>
    <w:rsid w:val="00767B72"/>
    <w:rsid w:val="00767F00"/>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2C0D"/>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C7BBC"/>
    <w:rsid w:val="007D04DD"/>
    <w:rsid w:val="007D1181"/>
    <w:rsid w:val="007D1E96"/>
    <w:rsid w:val="007D29AD"/>
    <w:rsid w:val="007D31BA"/>
    <w:rsid w:val="007D3C91"/>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B4"/>
    <w:rsid w:val="00887D43"/>
    <w:rsid w:val="00887D45"/>
    <w:rsid w:val="0089052F"/>
    <w:rsid w:val="00890620"/>
    <w:rsid w:val="00890818"/>
    <w:rsid w:val="00891079"/>
    <w:rsid w:val="0089129C"/>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85C"/>
    <w:rsid w:val="008D1F27"/>
    <w:rsid w:val="008D1F41"/>
    <w:rsid w:val="008D3753"/>
    <w:rsid w:val="008D39E4"/>
    <w:rsid w:val="008D3E09"/>
    <w:rsid w:val="008D44C4"/>
    <w:rsid w:val="008D55B7"/>
    <w:rsid w:val="008D609C"/>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3E5"/>
    <w:rsid w:val="00952433"/>
    <w:rsid w:val="00952BB5"/>
    <w:rsid w:val="009543C1"/>
    <w:rsid w:val="00955277"/>
    <w:rsid w:val="00955CF5"/>
    <w:rsid w:val="00955EBA"/>
    <w:rsid w:val="00956B94"/>
    <w:rsid w:val="00957382"/>
    <w:rsid w:val="00957DBA"/>
    <w:rsid w:val="0096032C"/>
    <w:rsid w:val="00960B62"/>
    <w:rsid w:val="00960F2C"/>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22C8"/>
    <w:rsid w:val="00984C89"/>
    <w:rsid w:val="00986056"/>
    <w:rsid w:val="00987056"/>
    <w:rsid w:val="0098763E"/>
    <w:rsid w:val="00987CED"/>
    <w:rsid w:val="00987DBD"/>
    <w:rsid w:val="00990129"/>
    <w:rsid w:val="009903C7"/>
    <w:rsid w:val="00990A8F"/>
    <w:rsid w:val="00990C14"/>
    <w:rsid w:val="00992BE8"/>
    <w:rsid w:val="00994DEF"/>
    <w:rsid w:val="00995859"/>
    <w:rsid w:val="0099697B"/>
    <w:rsid w:val="00996A30"/>
    <w:rsid w:val="00996A5B"/>
    <w:rsid w:val="0099718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077"/>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7B69"/>
    <w:rsid w:val="00A07F9F"/>
    <w:rsid w:val="00A07FB2"/>
    <w:rsid w:val="00A105DA"/>
    <w:rsid w:val="00A106A5"/>
    <w:rsid w:val="00A11857"/>
    <w:rsid w:val="00A11F28"/>
    <w:rsid w:val="00A1285F"/>
    <w:rsid w:val="00A133AB"/>
    <w:rsid w:val="00A13DDF"/>
    <w:rsid w:val="00A16956"/>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583"/>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6A86"/>
    <w:rsid w:val="00AD7BE3"/>
    <w:rsid w:val="00AE00F2"/>
    <w:rsid w:val="00AE0D52"/>
    <w:rsid w:val="00AE0E3A"/>
    <w:rsid w:val="00AE0F8B"/>
    <w:rsid w:val="00AE23E2"/>
    <w:rsid w:val="00AE2993"/>
    <w:rsid w:val="00AE3024"/>
    <w:rsid w:val="00AE6DE3"/>
    <w:rsid w:val="00AE718D"/>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4E21"/>
    <w:rsid w:val="00B15B18"/>
    <w:rsid w:val="00B15E53"/>
    <w:rsid w:val="00B167DF"/>
    <w:rsid w:val="00B16A2B"/>
    <w:rsid w:val="00B16F52"/>
    <w:rsid w:val="00B177DA"/>
    <w:rsid w:val="00B178BE"/>
    <w:rsid w:val="00B20507"/>
    <w:rsid w:val="00B2122E"/>
    <w:rsid w:val="00B21721"/>
    <w:rsid w:val="00B22729"/>
    <w:rsid w:val="00B22B97"/>
    <w:rsid w:val="00B23643"/>
    <w:rsid w:val="00B2383F"/>
    <w:rsid w:val="00B23C2C"/>
    <w:rsid w:val="00B240A1"/>
    <w:rsid w:val="00B24408"/>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208"/>
    <w:rsid w:val="00B34FF9"/>
    <w:rsid w:val="00B35FF5"/>
    <w:rsid w:val="00B3640A"/>
    <w:rsid w:val="00B37B82"/>
    <w:rsid w:val="00B40345"/>
    <w:rsid w:val="00B404DB"/>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0DEB"/>
    <w:rsid w:val="00BB2272"/>
    <w:rsid w:val="00BB2547"/>
    <w:rsid w:val="00BB254B"/>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319A"/>
    <w:rsid w:val="00CC35B0"/>
    <w:rsid w:val="00CC3BA2"/>
    <w:rsid w:val="00CC695C"/>
    <w:rsid w:val="00CC71E4"/>
    <w:rsid w:val="00CC7543"/>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22C8"/>
    <w:rsid w:val="00CF2839"/>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BB1"/>
    <w:rsid w:val="00D25C58"/>
    <w:rsid w:val="00D25D09"/>
    <w:rsid w:val="00D265C9"/>
    <w:rsid w:val="00D266E7"/>
    <w:rsid w:val="00D26948"/>
    <w:rsid w:val="00D26E3A"/>
    <w:rsid w:val="00D27803"/>
    <w:rsid w:val="00D3057E"/>
    <w:rsid w:val="00D309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A6A32"/>
    <w:rsid w:val="00DB092C"/>
    <w:rsid w:val="00DB260C"/>
    <w:rsid w:val="00DB2DCA"/>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602"/>
    <w:rsid w:val="00DD3E65"/>
    <w:rsid w:val="00DD3FA3"/>
    <w:rsid w:val="00DD55E2"/>
    <w:rsid w:val="00DD64BB"/>
    <w:rsid w:val="00DE0283"/>
    <w:rsid w:val="00DE06E9"/>
    <w:rsid w:val="00DE2660"/>
    <w:rsid w:val="00DE2DFA"/>
    <w:rsid w:val="00DE3EC1"/>
    <w:rsid w:val="00DE49FA"/>
    <w:rsid w:val="00DE50EC"/>
    <w:rsid w:val="00DE7889"/>
    <w:rsid w:val="00DE7A0D"/>
    <w:rsid w:val="00DE7A76"/>
    <w:rsid w:val="00DF0910"/>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755"/>
    <w:rsid w:val="00E47900"/>
    <w:rsid w:val="00E5017B"/>
    <w:rsid w:val="00E50756"/>
    <w:rsid w:val="00E50B22"/>
    <w:rsid w:val="00E50D15"/>
    <w:rsid w:val="00E52105"/>
    <w:rsid w:val="00E523B6"/>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B7F"/>
    <w:rsid w:val="00E81CBC"/>
    <w:rsid w:val="00E82746"/>
    <w:rsid w:val="00E8372E"/>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68D"/>
    <w:rsid w:val="00E96CFF"/>
    <w:rsid w:val="00EA0F69"/>
    <w:rsid w:val="00EA1232"/>
    <w:rsid w:val="00EA1AB3"/>
    <w:rsid w:val="00EA1B9E"/>
    <w:rsid w:val="00EA1E86"/>
    <w:rsid w:val="00EA2B3F"/>
    <w:rsid w:val="00EA2C32"/>
    <w:rsid w:val="00EA2CC7"/>
    <w:rsid w:val="00EA35EC"/>
    <w:rsid w:val="00EA36CE"/>
    <w:rsid w:val="00EA3E74"/>
    <w:rsid w:val="00EA57A0"/>
    <w:rsid w:val="00EA5958"/>
    <w:rsid w:val="00EA648C"/>
    <w:rsid w:val="00EA7966"/>
    <w:rsid w:val="00EB050B"/>
    <w:rsid w:val="00EB1D58"/>
    <w:rsid w:val="00EB26DB"/>
    <w:rsid w:val="00EB2FF6"/>
    <w:rsid w:val="00EB3B32"/>
    <w:rsid w:val="00EB46F3"/>
    <w:rsid w:val="00EB4A29"/>
    <w:rsid w:val="00EB6244"/>
    <w:rsid w:val="00EC1281"/>
    <w:rsid w:val="00EC1721"/>
    <w:rsid w:val="00EC220B"/>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17CBB"/>
    <w:rsid w:val="00F22DCF"/>
    <w:rsid w:val="00F248CE"/>
    <w:rsid w:val="00F24CA8"/>
    <w:rsid w:val="00F25A88"/>
    <w:rsid w:val="00F2670D"/>
    <w:rsid w:val="00F275E0"/>
    <w:rsid w:val="00F30676"/>
    <w:rsid w:val="00F30B44"/>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5BC"/>
    <w:rsid w:val="00F5786F"/>
    <w:rsid w:val="00F62AFA"/>
    <w:rsid w:val="00F62B91"/>
    <w:rsid w:val="00F63894"/>
    <w:rsid w:val="00F64DDD"/>
    <w:rsid w:val="00F654C8"/>
    <w:rsid w:val="00F65EF3"/>
    <w:rsid w:val="00F660E2"/>
    <w:rsid w:val="00F661EC"/>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2D38"/>
    <w:rsid w:val="00FB32AB"/>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928"/>
    <w:rsid w:val="00FD217F"/>
    <w:rsid w:val="00FD2D54"/>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18539</TotalTime>
  <Pages>1</Pages>
  <Words>641</Words>
  <Characters>3659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352</cp:revision>
  <cp:lastPrinted>2025-01-18T08:16:00Z</cp:lastPrinted>
  <dcterms:created xsi:type="dcterms:W3CDTF">2022-10-16T08:36:00Z</dcterms:created>
  <dcterms:modified xsi:type="dcterms:W3CDTF">2025-01-19T08:38:00Z</dcterms:modified>
</cp:coreProperties>
</file>